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247 vom 26. April 2013</w:t>
      </w:r>
    </w:p>
    <w:p>
      <w:r>
        <w:t>VD Tribunal cantonal, 2013-04-26, FR</w:t>
      </w:r>
    </w:p>
    <w:p>
      <w:r>
        <w:rPr>
          <w:b/>
        </w:rPr>
        <w:t xml:space="preserve">Quelle: </w:t>
      </w:r>
      <w:r>
        <w:t>https://mcp.opencaselaw.ch/entscheid/vd_findinfo_Jug___2013___247</w:t>
      </w:r>
    </w:p>
    <w:p>
      <w:r>
        <w:t>FR: VD_FINDINFO Jug / 2013 / 247 du 26 avril 2013</w:t>
      </w:r>
    </w:p>
    <w:p>
      <w:r>
        <w:t>IT: VD_FINDINFO Jug / 2013 / 247 del 26 aprile 2013</w:t>
      </w:r>
    </w:p>
    <w:p>
      <w:pPr>
        <w:pStyle w:val="Heading2"/>
      </w:pPr>
      <w:r>
        <w:t>Regeste</w:t>
      </w:r>
    </w:p>
    <w:p>
      <w:r>
        <w:t>GESTION DÉLOYALE | 158 ch.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Kuhn/Jeanneret (éd.), Commentaire romand, Code de procédure pénale suisse, Bâle 2011, n. 3 ad art. 399 CPP). La déclaration d’appel doit, quant à elle, être déposée dans les vingt jours à compter de la notification du jugement motivé (art. 399 al. 3 CPP). Interjeté dans les formes et délais légaux par une partie ayant la qualité pour recourir contre le jugement d’un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L’appelant reproche aux premiers juges d’avoir mal appliqué l’art. 158 ch. 1 CP. Il ne conteste pas que les éléments objectifs de l’infraction soient réalisés, mais soutient toutefois que les conditions subjectives font défaut, faute d’intention de sa part de nuire à A.________ ou à la société [...] SA. Il estime que les premiers juges ont été contradictoires et incohérents en admettant qu’il n’avait pas eu la volonté de nuire aux investisseurs de la société pour retenir ensuite qu’il avait agi par dol éventuel. 3.1.1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au sens de cette disposition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n. 13 ad art. 158 CP).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dans : Tercier/Amstutz [éd.], Commentaire romand, Code des obligations II, Bâle 2008, n. 24 ad art. 754 CO). 3.1.2 L’art. 12 al. 1 CP dispose que celui qui agit intentionnellement commet un crime ou un délit avec conscience et volonté. L’auteur agit déjà intentionnellement lorsqu’il tient pour possible la réalisation de l’infraction et l’accepte au cas où celle-ci se produirait. Il y a dol éventuel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w:t>
      </w:r>
    </w:p>
    <w:p>
      <w:r>
        <w:rPr>
          <w:b/>
        </w:rPr>
        <w:t>E. 3.2</w:t>
      </w:r>
    </w:p>
    <w:p>
      <w:r>
        <w:t>et les références citées).</w:t>
      </w:r>
    </w:p>
    <w:p>
      <w:r>
        <w:rPr>
          <w:b/>
        </w:rPr>
        <w:t>E. 4</w:t>
      </w:r>
    </w:p>
    <w:p>
      <w:r>
        <w:t>L’appelant a plaidé le fait que même en retenant l’infraction de gestion déloyale par dol éventuel, les premiers juges auraient dû l’exempter de toute peine en application de l’art. 54 CP.</w:t>
      </w:r>
    </w:p>
    <w:p>
      <w:r>
        <w:rPr>
          <w:b/>
        </w:rPr>
        <w:t>E. 4.1</w:t>
      </w:r>
    </w:p>
    <w:p>
      <w:r>
        <w:t>Aux termes de cette disposition, si l'auteur a été directement atteint par les conséquences de son acte au point qu'une peine serait inappropriée, l'autorité compétente renonce à le poursuivre, à le renvoyer devant le juge ou à lui infliger une peine. En cas de préjudice patrimonial, l'art. 54 CP s'applique dans des situations exceptionnelles ; il est exclu quand le préjudice est en plus indirect (BJP 1996 n° 53 ; Favre/Pellet/Stoudmann, Code pénal annoté, 3 e éd., Lausanne 2007, nn. 1.2 à 1.5 ad art. 54 CP). Le critère déterminant est qu'au vu de la culpabilité de l'auteur et des conséquences directes de son acte, la sanction pénale apparaisse à ce point inadéquate que le simple sentiment de justice impose de renoncer à toute peine. Les conséquences de l'acte sont celles qu'endure l'auteur de l'acte lui-même et non les effets de l'acte sur son entourage (ATF 137 IV 105, JT 2011 IV 378). Le juge doit prendre sa décision en analysant les circonstances concrètes du cas et il dispose d'un large pouvoir d'appréciation, de sorte que sa décision ne sera annulée que s'il en a abusé (ATF 137 IV 105, JT IV 378; TF 6B_111/2009 du 16 juillet 2009 c.</w:t>
      </w:r>
    </w:p>
    <w:p>
      <w:r>
        <w:rPr>
          <w:b/>
        </w:rPr>
        <w:t>E. 4.2</w:t>
      </w:r>
    </w:p>
    <w:p>
      <w:r>
        <w:t>En l’occurrence, la situation personnelle de l’appelant n’est certes pas facile. Il a connu des problèmes de santé durant les faits de la présente cause et a perdu son épouse en 2009. Ces éléments ne sont toutefois pas en lien direct avec l’infraction dont il s’est rendu coupable. Le fait d’avoir investi et perdu de l’argent, hérité de son père ou prêté par son frère, dans la société [...] SA ne constitue au surplus, ni un motif d’exemption ni un motif d’atténuation de la peine au sens de l’art. 54 CP. Ce grief, mal fondé, doit être rejeté.</w:t>
      </w:r>
    </w:p>
    <w:p>
      <w:r>
        <w:rPr>
          <w:b/>
        </w:rPr>
        <w:t>E. 5</w:t>
      </w:r>
    </w:p>
    <w:p>
      <w:r>
        <w:t>L’appelant conteste les modalités de l’audition par vidéoconférence qui s’est tenue devant le tribunal première instance. Il estime que la procédure visée à l’art. 144 CPP n’a pas été respectée.</w:t>
      </w:r>
    </w:p>
    <w:p>
      <w:r>
        <w:rPr>
          <w:b/>
        </w:rPr>
        <w:t>E. 5.1</w:t>
      </w:r>
    </w:p>
    <w:p>
      <w:r>
        <w:t>L’art. 144 CPP dispose que le ministère public ou le tribunal compétent peut ordonner une audition par vidéoconférence si la personne à entendre est dans l’impossibilité de comparaître personnellement ou ne peut comparaître qu’au prix de démarches disproportionnées (al. 1). L’audition est enregistrée sur un support préservant le son et l’image (al. 2). Cette disposition ne règle pas les modalités concrètes de l’audition par vidéoconférence, la doctrine ayant émis des recommandations qui n’ont pas de force contraignante (Thormann/Brechtbühl, in Kuhn/Jeanneret (op. cit.), nn. 10 à 13 ad art. 144 CPP). L’audition par vidéoconférence est une méthode subsidiaire par rapport à l’audition en personne. L’autorité pénale dispose d’une liberté d’appréciation importante sur l’utilisation de ce moyen d’audition, avant tout dans le but d’éviter des surcharges de travail ou des frais disproportionnés. L’interrogatoire par vidéoconférence est ainsi justifié notamment en présence d’un témoin âgé, malade ou habitant l’étranger (Dupuis et alii, in: Petit commentaire du Code de procédure pénale, Bâle 2013, nn. 2 et 5 ad art. 144 CPP et les références citées).</w:t>
      </w:r>
    </w:p>
    <w:p>
      <w:r>
        <w:rPr>
          <w:b/>
        </w:rPr>
        <w:t>E. 5.2</w:t>
      </w:r>
    </w:p>
    <w:p>
      <w:r>
        <w:t>En l’espèce, les conditions d’application de l’art. 144 CPP étaient réalisées puisque c’est le tribunal compétent qui a ordonné cette vidéoconférence et qu’il l’a fait au motif que l’appelant vit en Thaïlande, qu’il n’est pas en bonne santé et qu’il ne dispose pas de moyens lui permettant facilement de se rendre en Suisse. Sa comparution personnelle aurait ainsi été réalisée au prix de démarches disproportionnées. Le recours au moyen de la vidéoconférence a d’ailleurs été initialement proposé par l’appelant lui-même (P. 135), qui, se faisant, a donné son accord à cette façon de procéder. Son avocat a été formellement interpellé avant les débats à ce sujet (P. 136) mais n’a pas réagi par écrit. Il a assisté à l’intégralité de l’audience de jugement (jgt., p. 7 ss) et n’a soulevé aucun moyen, ni aucune objection à ce mode de faire, qu’il s’agisse des modalités d’audition ou du moyen technique lui-même. Les considérations de doctrine sur lesquelles voudrait se fonder l’appelant ont principalement pour souci l’identification de celui qui est entendu et la garantie de l’immédiateté de l’audition. Or, l’avocat de l’appelant a identifié son client et, surtout, a relu lui-même la déposition écrite du prévenu telle qu’elle résultait de l’audition par vidéoconférence, avec l’accord express de son client. Il a accepté cette déposition en la signant (jgt., p. 13). Partant, l’identification a été assurée par le conseil lui-même. Quant à l’immédiateté, elle a pu être garantie en raison du moyen technique choisi. L’audition n’a certes pas été enregistrée conformément à l’art. 144 al. 2 CPP mais elle a été verbalisée ce qui garantit sa préservation, ce que l’appelant ne conteste de toute manière pas. Compte tenu de ce qui précède, les modalités de l’audition par vidéoconférence n’ont pas été contestées au moment de cette dernière et le droit d’être entendu de l’appelant a été parfaitement respecté, ce qu’il ne conteste d’ailleurs pas. Partant, il y a abus manifeste à soulever ce grief en appel. Ce moyen doit être rejeté.</w:t>
      </w:r>
    </w:p>
    <w:p>
      <w:r>
        <w:rPr>
          <w:b/>
        </w:rPr>
        <w:t>E. 6</w:t>
      </w:r>
    </w:p>
    <w:p>
      <w:r>
        <w:t>En conclusion, l'appel doit être rejeté et le jugement attaqué intégralement confirmé.</w:t>
      </w:r>
    </w:p>
    <w:p>
      <w:r>
        <w:rPr>
          <w:b/>
        </w:rPr>
        <w:t>E. 7</w:t>
      </w:r>
    </w:p>
    <w:p>
      <w:r>
        <w:t>Vu l’issue de la cause, les frais de la procédure d'appel, comprenant l’émolument par 1’610 fr. (art. 21 al. 1 et 2 TFJP [Tarif des frais judiciaires pénaux du 28 septembre 2010, RSV 312.031]), auquel il convient d’ajouter l’indemnité allouée à Me Antoine Eigenmann, doivent être mis à la charge de L.________ (art. 428 al. 1 CPP). S’agissant de l’indemnité réclamée par Me Antoine Eigenmann, on précisera que celui-ci a produit une liste d'opérations faisant état d’un total de 24 heures 10 (P. 151). Compte tenu de la nature de la cause, de la connaissance du dossier acquise en première instance et des opérations nécessaires pour la défense des intérêts de son client, le temps consacré à la présente procédure paraît trop important. Il convient d'admettre que Me Antoine Eigenmann a dû consacrer</w:t>
      </w:r>
    </w:p>
    <w:p>
      <w:r>
        <w:rPr>
          <w:b/>
        </w:rPr>
        <w:t>E. 10</w:t>
      </w:r>
    </w:p>
    <w:p>
      <w:r>
        <w:t>heures à l'exécution de son mandat. L'indemnité sera dès lors arrêtée à 1'800 fr, à laquelle il convient d’ajouter 50 fr. de débours et 120 fr. pour une vacation, plus la TVA par 157 fr. 60 , soit un total de 2’127 fr. 60, TVA et débours inclus . L.________ ne sera tenu de rembourser à l’Etat le montant de l’indemnité allouée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