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245 vom 22. Mai 2013</w:t>
      </w:r>
    </w:p>
    <w:p>
      <w:r>
        <w:t>VD Tribunal cantonal, 2013-05-22, FR</w:t>
      </w:r>
    </w:p>
    <w:p>
      <w:r>
        <w:rPr>
          <w:b/>
        </w:rPr>
        <w:t xml:space="preserve">Quelle: </w:t>
      </w:r>
      <w:r>
        <w:t>https://mcp.opencaselaw.ch/entscheid/vd_findinfo_Jug___2013___245</w:t>
      </w:r>
    </w:p>
    <w:p>
      <w:r>
        <w:t>FR: VD_FINDINFO Jug / 2013 / 245 du 22 mai 2013</w:t>
      </w:r>
    </w:p>
    <w:p>
      <w:r>
        <w:t>IT: VD_FINDINFO Jug / 2013 / 245 del 22 maggio 2013</w:t>
      </w:r>
    </w:p>
    <w:p>
      <w:pPr>
        <w:pStyle w:val="Heading2"/>
      </w:pPr>
      <w:r>
        <w:t>Regeste</w:t>
      </w:r>
    </w:p>
    <w:p>
      <w:r>
        <w:t>CONSTATATION DES FAITS, APPRÉCIATION DES PREUVES, VIOLATION DES RÈGLES DE LA CIRCULATION, FIXATION DE LA PEINE | 42 CP, 47 CP, 92 al. 2 LCR, 10 CPP (CH)</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formes et délais légaux par une partie ayant qualité pour recourir contre le jugement du tribunal de première instance qui a clos la procédure (art. 398 al. 1 CPP), l’appel de B.________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 conteste l’état de fait retenu par le tribunal. Il invoque une appréciation arbitraire des preuves. Il reproche au premier juge d’avoir préféré les déclarations du dénonciateur aux siennes et fait valoir que seule une contravention à la loi sur la circulation routière pourrait lui être reprochée.</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w:t>
      </w:r>
    </w:p>
    <w:p>
      <w:r>
        <w:rPr>
          <w:b/>
        </w:rPr>
        <w:t>E. 3.2</w:t>
      </w:r>
    </w:p>
    <w:p>
      <w:r>
        <w:t>L’appelant soutient qu’il n’a jamais dépassé la vitesse de 140 km/heure. Le premier juge a été d’un autre avis en retenant la version des deux gendarmes qu’il a jugée parfaitement crédible. Le premier juge a relevé que ces deux gendarmes ont, de manière concordante, déclaré avoir aperçu le véhicule de B.________ s’engager rapidement sur la voie d’accès à la chaussée [...]. Comme ils se trouvaient à quelque 200 mètres de lui, ils ont pu le suivre sans accélérer fortement pour combler leur retard. On doit relever à cet égard que l’appelant fait une fausse lecture du rapport de dénonciation du 5 avril 2012. Sur la base des pièces au dossier (P. 4 et P. 12), les agents se trouvaient bien à 200 mètres de l’appelant et non à 400 mètres du poursuivi lorsqu’ils ont aperçu son véhicule. Les gendarmes ont ensuite expliqué avoir poursuivi le prévenu sur l’autoroute, lequel a accéléré après le km 41.590, correspondant à l’emplacement du radar fixe. Ils n’ont pas pu rattraper l’appelant, malgré une vitesse se situant entre 230 et 240 km/heure. Au contraire, la distance augmentait. Ce n’est qu’après le km 46 que le véhicule a réduit son allure et que les agents ont pu interpeller B.________. Le gendarme R.________ a aussi déclaré qu’il lui était déjà arrivé, lors de courses urgentes, de circuler à plus de 200 km/h et qu’il avait eu le même sentiment de vitesse lors de cette course poursuite (jgt., p. 5). Par ailleurs, l’appelant ne prétend pas qu’il y ait eu d’autres véhicules sur sa voie lors de la poursuite, à l’exception d’un camion. Une confusion entre deux véhicules est dès lors impossible. Il ne fait donc aucun doute que l’appelant a accéléré dès le km 41.590 jusqu’à atteindre une vitesse de plus de 200 km/h, ce que lui permettait aisément son véhicule de marque [...], dont la fiche technique indique une vitesse maximale de 301 km/h (http://fr.wikipedia.org/wiki/Audi_R8_(voiture_de_route)). Ce premier moyen doit être rejeté.</w:t>
      </w:r>
    </w:p>
    <w:p>
      <w:r>
        <w:rPr>
          <w:b/>
        </w:rPr>
        <w:t>E. 3.3</w:t>
      </w:r>
    </w:p>
    <w:p>
      <w:r>
        <w:t>L’appelant reproche au premier juge de n’avoir pas retenu le témoignage de H.________. Selon ce témoin, l’appelant aurait circulé à une « vitesse normale » sur le trajet incriminé. H.________ était la passagère du véhicule poursuivi et l’amie intime du prévenu à l’époque des faits. Le premier juge n’a pas ignoré ce témoignage mais a préféré les déclarations de deux gendarmes assermentés qui n’ont jamais eu affaire à l’appelant auparavant. Il s’agit là d’une saine appréciation des preuves, ce d’autant plus que les agents n’avaient aucun intérêt à inventer de tels faits; ils patrouillaient et ont aperçu fortuitement le comportement routier d’un automobiliste qui prenait des libertés avec le code de la route et ont décidé de le suivre. Le fait que H.________ ait confirmé son témoignage à l’audience de première instance n’y change rien. Elle avait déjà témoigné dans un sens favorable à l’appelant et tout revirement de sa part l’exposait à une dénonciation pour faux témoignage. Il importe donc peu qu’elle n’était plus l’amie intime de l’appelant au moment de l’audience. Partant, c’est à juste titre que le témoignage de H.________ n’a pas été retenu. Ce grief est infondé.</w:t>
      </w:r>
    </w:p>
    <w:p>
      <w:r>
        <w:rPr>
          <w:b/>
        </w:rPr>
        <w:t>E. 3.4</w:t>
      </w:r>
    </w:p>
    <w:p>
      <w:r>
        <w:t>L’appelant conteste le témoignage du gendarme R.________, lequel ne se fonderait sur aucun élément objectif quant à la vitesse dénoncée. Il voit une contradiction dans le fait de prétendre que le véhicule de l’appelant n’avait pas cessé de distancer celui des gendarmes, mais qu’ils l’avaient malgré tout rattrapé. Il ressort du rapport de police du 5 avril 2012 et des déclarations de R.________ à l’audience de première instance que lorsque le véhicule du prévenu roulait à une vitesse de plus de 200 km/h, il distançait celui des gendarmes. Ce n’est qu’après avoir dépassé un camion que B.________ a réduit sa vitesse et que les gendarmes ont pu le rattraper (cf. P. 4 et jgt., pp. 5-6). Il n’y a aucune contradiction dans ce témoignage. Ce moyen doit également être rejeté.</w:t>
      </w:r>
    </w:p>
    <w:p>
      <w:r>
        <w:rPr>
          <w:b/>
        </w:rPr>
        <w:t>E. 3.5</w:t>
      </w:r>
    </w:p>
    <w:p>
      <w:r>
        <w:t>L’appelant fait grief au Tribunal de police de s’être fondé sur une jurisprudence « boiteuse » du Tribunal fédéral pour admettre une vitesse excessive alors qu’un étalonnage du véhicule des gendarmes n’avait pas été effectué dans les vingt-quatre heures suivant son interpellation.</w:t>
      </w:r>
    </w:p>
    <w:p>
      <w:r>
        <w:rPr>
          <w:b/>
        </w:rPr>
        <w:t>E. 3.5.1</w:t>
      </w:r>
    </w:p>
    <w:p>
      <w:r>
        <w:t>Les instructions techniques édictées par le Département fédéral de l'environnement, des transports, de l'énergie et de la communication concernant les contrôles de vitesse dans la circulation routière constituent de simples recommandations qui n'ont pas force de loi et ne lient pas le juge (cf. ATF 123 II 106 c. 2e p. 113).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(TF 6B_568/2012 du 16 novembre 2012 c. 1.3; TF 6B_763/2011 du 22 mars 2012 c. 1.4; TF 6B_863/2010 du 17 janvier 2011 c. 2.2). Une marge de 15% entre la vitesse constatée et celle finalement retenue permet de tenir compte d'une manière plus que généreuse des potentielles erreurs de mesure dans un cas où un excès de vitesse est constaté sur la base du témoignage de policiers se fondant sur la lecture du compteur de vitesse de leur véhicule (TF 6B_568/2012 du 16 novembre 2012 c. 1.3; TF 6B_863/2010 du 17 janvier 2011 c. 2.2.1; TF 1P.90/2006 du 13 avril 2006 c. 3.2).</w:t>
      </w:r>
    </w:p>
    <w:p>
      <w:r>
        <w:rPr>
          <w:b/>
        </w:rPr>
        <w:t>E. 3.5.2</w:t>
      </w:r>
    </w:p>
    <w:p>
      <w:r>
        <w:t>En l'espèce, le premier juge s'est fondé sur les déclarations des deux gendarmes qui avaient poursuivi et intercepté le véhicule de l’appelant. Ceux-ci ont déclaré avoir roulé à la vitesse maximale de leur véhicule, soit entre 230 et 240 km/h au compteur, sans réussir à rattraper l’appelant sur 4.5 kilomètres (du km 41.590 au km 46). Il résulte de la jurisprudence citée ci-dessus que le Tribunal de police pouvait retenir sans arbitraire l’existence d'un dépassement de vitesse en se fondant sur les seules déclarations concordantes des agents assermentés, basées sur la lecture du compteur de vitesse de leur véhicule. Le fait que le véhicule de police n’ait pas été étalonné dans les vingt-quatre heures n’y change donc rien. En déduisant une marge de sécurité de 15% préconisée par la jurisprudence, la vitesse du véhicule de l’appelant s’élevait à tout le moins à 195 km/heure. Par rapport à la vitesse maximale autorisée de 120 km/h, l’excès de vitesse est de l’ordre de 75 km/heure. Ce grief est dès lors infondé.</w:t>
      </w:r>
    </w:p>
    <w:p>
      <w:r>
        <w:rPr>
          <w:b/>
        </w:rPr>
        <w:t>E. 4</w:t>
      </w:r>
    </w:p>
    <w:p>
      <w:r>
        <w:t>L’appelant conteste sa condamnation pour violation grave des règles de la circulation routière. Il fait valoir que la faute qu'il a commise est légère et que seule l'infraction de violation simple des règles de la circulation peut être retenue à sa charge.</w:t>
      </w:r>
    </w:p>
    <w:p>
      <w:r>
        <w:rPr>
          <w:b/>
        </w:rPr>
        <w:t>E. 4.1</w:t>
      </w:r>
    </w:p>
    <w:p>
      <w:r>
        <w:t>Selon l'art. 90 LCR,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L'infraction réprimée par l'art. 90 ch. 2 LCR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 qu'avec retenue (TF 6B_565/2010 du 21 octobre 2010 c. 3.1 et 3.2; ATF 131 IV 133 c. 3.2). La qualification de cas grave au sens de l'art. 90 ch. 2 LCR correspond à celle de l'art. 16c al. 1 let. a LCR (ATF 132 II 234 c. 3). Selon une jurisprudence constante, le seuil de gravité en matière d'infraction à la circulation routière (art. 90 ch. 2 LCR) est considéré comme atteint en cas de dépassement de la vitesse égal ou supérieur à 35 km/h quand la vitesse est limitée à 120 km/h sur les autoroutes (TF 6B_568/2012 du 16 novembre 2012 c. 1.3; ATF 132 II 234 c. 3.2 p. 238; 124 II 259 c. 2b p. 261 ss; 123 II 106 c. 2c p. 113).</w:t>
      </w:r>
    </w:p>
    <w:p>
      <w:r>
        <w:rPr>
          <w:b/>
        </w:rPr>
        <w:t>E. 4.2</w:t>
      </w:r>
    </w:p>
    <w:p>
      <w:r>
        <w:t>Au vu de l'état de fait retenu par le premier juge et par la Cour de céans, l'infraction de violation grave des règles de la circulation au sens de l'art. 90 ch. 2 LCR est objectivement réalisée. En effet, l’appelant a manifestement dépassé la vitesse maximale autorisée de plus de 35 km/heure. Partant, la condamnation pour violation grave des règles de la circulation routière doit être confirmée.</w:t>
      </w:r>
    </w:p>
    <w:p>
      <w:r>
        <w:rPr>
          <w:b/>
        </w:rPr>
        <w:t>E. 5</w:t>
      </w:r>
    </w:p>
    <w:p>
      <w:r>
        <w:t>L’appelant se plaint de la quotité de la peine infligée.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w:t>
      </w:r>
    </w:p>
    <w:p>
      <w:r>
        <w:rPr>
          <w:b/>
        </w:rPr>
        <w:t>E. 5.2</w:t>
      </w:r>
    </w:p>
    <w:p>
      <w:r>
        <w:t>L’appelant s’est rendu coupable de violation grave des règles de la circulation routière. Sa culpabilité est importante. Il n’a pas hésité à mettre en danger la sécurité d’autrui en roulant à une vitesse largement supérieure à la vitesse maximale prescrite, quand bien même son interpellation s’est produite de nuit à un moment où il y avait peu de trafic. Même si la vitesse du véhicule de l’appelant n’a pas pu être mesurée avec exactitude, l’excès de vitesse doit être qualifié de massif. Il a fait preuve d’une attitude désinvolte face à ses actes, niant avoir roulé à une telle vitesse, dans l’objectif d’échapper à une lourde sanction. Enfin, bien que son casier judiciaire soit vierge, l’appelant a de nombreux antécédents judiciaires de mesures administratives en matière de circulation routière. Au regard de l’ensemble de ces éléments, la peine de soixante-deux jours-amende prononcée par le premier juge est adéquate et doit être confirmée. La valeur du jour-amende doit être fixée à 60 fr. pour tenir compte de la situation personnelle et économique du prévenu.</w:t>
      </w:r>
    </w:p>
    <w:p>
      <w:r>
        <w:rPr>
          <w:b/>
        </w:rPr>
        <w:t>E. 6</w:t>
      </w:r>
    </w:p>
    <w:p>
      <w:r>
        <w:t>L’appelant conteste le refus du sursis. Il explique qu’il a tiré la leçon de ses erreurs du passé et qu’il n’a plus commis d’excès de vitesse justifiant un retrait de permis de conduire depuis presque sept ans.</w:t>
      </w:r>
    </w:p>
    <w:p>
      <w:r>
        <w:rPr>
          <w:b/>
        </w:rPr>
        <w:t>E. 6.1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raisonnement l’attendre de lui (al. 3). Le juge peut prononcer, en plus du sursis, une peine pécuniaire sans sursis ou amende selon l’art. 106 CP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5 c. 4.2.1; ATF 128 IV 193 c. 3a; 118 IV 9 c. 2b). Le sursis est désormais la règle dont on ne peut s’écarter qu’en présence d’un pronostic défavorable. Il prime en cas d’incertitude (cf. 134 IV 5 c. 4.2.2). L’art. 43 CP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c. 5.3.1 p. 10).</w:t>
      </w:r>
    </w:p>
    <w:p>
      <w:r>
        <w:rPr>
          <w:b/>
        </w:rPr>
        <w:t>E. 6.2</w:t>
      </w:r>
    </w:p>
    <w:p>
      <w:r>
        <w:t>B.________ a fait l’objet, entre 2003 et 2011, de trois avertissements pour excès de vitesse et de trois retraits de permis. Il a également suivi des cours d’éducation routière. Malgré toutes ces mesures administratives et les amendes les accompagnant, il a commis une violation crasse des règles de la circulation routière. Il a ergoté et n’a nullement pris conscience de ses fautes en banalisant son passé de conducteur. Au regard de ces éléments, le pronostic est défavorable. Seul le prononcé d'une peine ferme permettra de faire comprendre à l'appelant qu'aucune récidive en matière de circulation routière n’est tolérée.</w:t>
      </w:r>
    </w:p>
    <w:p>
      <w:r>
        <w:rPr>
          <w:b/>
        </w:rPr>
        <w:t>E. 7</w:t>
      </w:r>
    </w:p>
    <w:p>
      <w:r>
        <w:t>La condamnation pour violation grave des règles de la circulation routière étant confirmée, les conclusions de l’appelant tendant à l’allocation d’une indemnité au sens de l’art. 429 CPP et à la libération du paiement des frais de la cause sont sans objet.</w:t>
      </w:r>
    </w:p>
    <w:p>
      <w:r>
        <w:rPr>
          <w:b/>
        </w:rPr>
        <w:t>E. 8</w:t>
      </w:r>
    </w:p>
    <w:p>
      <w:r>
        <w:t>En définitive, l’appel formé par B.________ est rejeté et le jugement rendu le 22 mai 2013 par le Tribunal de police de l’arrondissement de l’Est vaudois est confirmé.</w:t>
      </w:r>
    </w:p>
    <w:p>
      <w:r>
        <w:rPr>
          <w:b/>
        </w:rPr>
        <w:t>E. 9</w:t>
      </w:r>
    </w:p>
    <w:p>
      <w:r>
        <w:t>Vu l'issue de la cause, les frais d'appel, par 1’720 fr. (art. 21 al. 1 et 2 TFJP [Tarif des frais judiciaires pénaux du 28 septembre 2010; RSV 312.03.1]), doivent être mis à la charge de B.________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