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243 vom 17. Juni 2013</w:t>
      </w:r>
    </w:p>
    <w:p>
      <w:r>
        <w:t>VD Tribunal cantonal, 2013-06-17, FR</w:t>
      </w:r>
    </w:p>
    <w:p>
      <w:r>
        <w:rPr>
          <w:b/>
        </w:rPr>
        <w:t xml:space="preserve">Quelle: </w:t>
      </w:r>
      <w:r>
        <w:t>https://mcp.opencaselaw.ch/entscheid/vd_findinfo_Jug___2013___243</w:t>
      </w:r>
    </w:p>
    <w:p>
      <w:r>
        <w:t>FR: VD_FINDINFO Jug / 2013 / 243 du 17 juin 2013</w:t>
      </w:r>
    </w:p>
    <w:p>
      <w:r>
        <w:t>IT: VD_FINDINFO Jug / 2013 / 243 del 17 giugno 2013</w:t>
      </w:r>
    </w:p>
    <w:p>
      <w:pPr>
        <w:pStyle w:val="Heading2"/>
      </w:pPr>
      <w:r>
        <w:t>Regeste</w:t>
      </w:r>
    </w:p>
    <w:p>
      <w:r>
        <w:t>PEINE COMPLÉMENTAIRE, PEINE PRIVATIVE DE LIBERTÉ, PEINE PÉCUNIAIRE, FIXATION DE LA PEINE, RÉCIDIVE{INFRACTION}, SURSIS PARTIEL À L'EXÉCUTION DE LA PEINE | 43 al. 1 CP, 43 CP, 47 CP, 49 al. 2 CP, 49 CP, 77b CP</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délais légaux par une partie ayant qualité pour recourir contre le jugement du tribunal de première instance qui a clos la procédure (art. 398 al. 1 CPP), l’appel formé par le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invoque une violation de l’art. 49 al. 2 CP. Il soutient que la peine privative de liberté prononcée par les premiers juges ne peut être partiellement complémentaire à la peine pécuniaire prononcée le 16 mars 2011, dès lors qu’il s’agit d’une peine d’un autre genre.</w:t>
      </w:r>
    </w:p>
    <w:p>
      <w:r>
        <w:rPr>
          <w:b/>
        </w:rPr>
        <w:t>E. 3.1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 4.3.1). Si le juge estime qu’une peine privative de liberté doit être infligée pour réprimer le cas qui lui est soumis, il doit prononcer une peine autonome (ibid. c. 4.3.2).</w:t>
      </w:r>
    </w:p>
    <w:p>
      <w:r>
        <w:rPr>
          <w:b/>
        </w:rPr>
        <w:t>E. 3.2</w:t>
      </w:r>
    </w:p>
    <w:p>
      <w:r>
        <w:t>En l’occurrence, il résulte de la jurisprudence qui précède que la décision des premiers juges est erronée sur ce point. Dans la mesure où ils estimaient qu’une peine privative de liberté devait être prononcée à l’encontre du prévenu, cette peine, d’un genre différent, ne pouvait être partiellement complémentaire à la peine pécuniaire prononcée le 16 mars 2011. Ils devaient dès lors prononcer une peine privative de liberté autonome. Par conséquent, l’indication erronée doit être supprimée du chiffre II du dispositif du jugement et la peine doit être revue.</w:t>
      </w:r>
    </w:p>
    <w:p>
      <w:r>
        <w:rPr>
          <w:b/>
        </w:rPr>
        <w:t>E. 4</w:t>
      </w:r>
    </w:p>
    <w:p>
      <w:r>
        <w:t>L’appelant invoque une violation de l’art. 47 CP. Sans remettre en cause les éléments à charge et à décharge retenus par les premiers juges, il estime que la peine est trop clémente au regard de l’ampleur de l’activité délictueuse et de la récidive répétée en cours d’instruction.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4.1.2 Sous l’ancien droit pénal général, le Tribunal fédéral avait considéré qu’il convenait de tenir compte de la limite supérieure des peines au-delà de laquelle le sursis ne pouvait pas être accordé lors de la fixation de la peine, lorsque la durée de la peine envisagée n’était pas nettement supérieure à cette limite et que les conditions du sursis étaient réalisées. Selon la jurisprudence, cette pratique n’a plus sa place dans le nouveau droit. Toutefois, lorsque la fixation de la peine conduit au prononcé d’une peine privative de liberté qui se situe dans les limites légales du sursis ou du sursis partiel,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(ATF 134 IV 17 c. 3). Selon l’art. 47 al. 1 in fine CP, le juge doit aussi avoir égard à l’effet de la peine sur l’avenir du condamné; il s’agit d’éviter les sanctions susceptibles de compromettre l’évolution favorable de ce dernier; cet aspect de prévention spéciale ne saurait toutefois conduire à prononcer une peine qui ne correspondrait plus à la culpabilité du condamné (ATF 134 IV 17 précité; TF 6B_706/2008 du 3 décembre 2008 c. 2.2; TF 6B_237/2007 du 5 octobre 2007 c. 2 2; TF 6B_14/2007 du 17 avril 2007 c. 5.2).</w:t>
      </w:r>
    </w:p>
    <w:p>
      <w:r>
        <w:rPr>
          <w:b/>
        </w:rPr>
        <w:t>E. 4.2</w:t>
      </w:r>
    </w:p>
    <w:p>
      <w:r>
        <w:t>En l’occurrence, la culpabilité de B.________ doit être qualifiée d’importante. A de multiples occasions et en seulement deux ans, le prévenu a commis des infractions de gravité non négligeable contre le patrimoine. Le butin – à partager entre deux, parfois trois comparses – se compose d’environ 6'550 fr., 14 GPS, 5 téléphones portables, 4 lecteurs DVD, 8 ordinateurs portables, 3 appareils photo, 3 appareils MP3, 9 autoradios, 1 caméra, 4 consoles et des jeux, 1 vélo, des montres, des bijoux, 3 couteaux, 11 paires de lunettes, du matériel audio et des CD, des pièces de voitures, de l’outillage, des vêtements, du matériel de sport, des parfums, des sacs à main, des cigarettes, des boissons, un grill, des cartes bancaires, des papiers et des clés. A charge, il est tenu compte du concours d’infractions, du fait que le prévenu s’est facilement laissé entraîner dans la délinquance par plaisir et appât du gain, qu’il a trahi la confiance de son employeur en le cambriolant et qu’il a récidivé à réitérées reprises en cours d’instruction. De surcroît, les cambriolages se sont aggravés, dans la mesure où ils visaient d’abord des voitures ou des caves, puis des maisons, ce qui montre l’audace et la confiance grandissantes des voleurs. A décharge, la Cour de céans retiendra le jeune âge du prévenu, qui n’avait pas vingt ans révolus au moment des premiers agissements. Il sera également tenu compte d’une sérieuse amorce de prise de conscience, se traduisant par un comportement actuellement correct, des regrets sincères et des projets d’avenir sérieux. Enfin, bien qu’il s’agisse de l’entreprise de son beau-père, depuis quelques mois, l’intimé exerce une activité lucrative et contribue à son entretien. Toutefois, celui-ci a déclaré en première instance consommer toujours de la marijuana. En procédure d’appel, il a indiqué n’avoir pas commencé à indemniser les lésés comme il s’était engagé à le faire, attendant qu’ils se manifestent. Cela indique qu’il se trouve encore au stade des bonnes intentions, plutôt que de la preuve faite. Compte tenu de ces éléments, notamment du nombre d’infractions commises et de la récidive répétée, une peine privative de liberté de 30 mois réprime adéquatement la culpabilité de B.________.</w:t>
      </w:r>
    </w:p>
    <w:p>
      <w:r>
        <w:rPr>
          <w:b/>
        </w:rPr>
        <w:t>E. 5</w:t>
      </w:r>
    </w:p>
    <w:p>
      <w:r>
        <w:t>Invoquant une violation de l’art. 42 CP, l’appelant fait valoir que les conditions d’un sursis entier ne sont pas réunies, compte tenu notamment des multiples récidives en cours d’enquête.</w:t>
      </w:r>
    </w:p>
    <w:p>
      <w:r>
        <w:rPr>
          <w:b/>
        </w:rPr>
        <w:t>E. 5.1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précité c. 3.1.2; ATF 134 IV 1 c. 4.2.2).</w:t>
      </w:r>
    </w:p>
    <w:p>
      <w:r>
        <w:rPr>
          <w:b/>
        </w:rPr>
        <w:t>E. 5.2</w:t>
      </w:r>
    </w:p>
    <w:p>
      <w:r>
        <w:t>Au vu de la quotité de la peine retenue (cf. supra c. 4.2), seul le sursis partiel est envisageable. En l’occurrence, le prévenu a commis une première série d’infractions en 2009. Il a été interpellé en flagrant délit le 7 octobre 2009, mais a néanmoins commis un autre vol entre le 9 et le 10 octobre 2009. Malgré l’enquête en cours et ses auditions en 2010, il a récidivé au printemps 2011, visant cette fois également des logements, ce qui lui a valu 16 jours de détention préventive en avril 2011. Par ailleurs, à la même époque, soit le 16 mars 2011, il a été condamné par ordonnance pénale pour des dommages à la propriété commis en 2009. Cela ne l’a toutefois pas dissuadé de voler, au mois de septembre 2011, de l’argent sur le compte bancaire de sa copine. II a été entendu sur ces faits en novembre 2011 et pourtant, en janvier 2012, il a volé une nouvelle fois un sac à main. Ce n’est qu’après cette période que l’intimé a commencé à travailler. Les premiers juges ont relevé qu’il subsistait chez lui une certaine fragilité. Ce constat est toujours justifié à ce jour. En effet, malgré son activité salariale, l’évolution du prévenu reste fragile, dans la mesure où il bénéficie de l’encadrement de sa famille. Dans ces circonstances, le pronostic est mitigé. Vu le jeune âge de l’intimé et l’absence d’antécédents sérieux, il se justifie de suspendre partiellement l’exécution de la peine. Une quotité de 6 mois fermes constituera un avertissement suffisant. Au surplus, la sanction de 30 mois de privation de liberté, dont 24 suspendus, n’affectera pas l’avenir professionnel du prévenu, dès lors que celui-ci semble remplir les conditions d’une exécution sous forme de semi-détention (art. 77b CP), ce qui lui permettra de garder son nouvel emploi.</w:t>
      </w:r>
    </w:p>
    <w:p>
      <w:r>
        <w:rPr>
          <w:b/>
        </w:rPr>
        <w:t>E. 6</w:t>
      </w:r>
    </w:p>
    <w:p>
      <w:r>
        <w:t>En définitive, l’appel du Ministère public est partiellement admis en ce sens que B.________ est condamné à une peine privative de liberté de 30 mois, dont 6 mois fermes et 24 mois assortis du sursis, le délai d’épreuve étant fixé à 5 ans. Vu l’issue de la cause, les frais de la procédure d'appel, comprenant l’émolument d’arrêt, par 1’720 fr. (art. 21 TFJP [Tarifs des frais judiciaires pénaux du 28 septembre 2010, RSV 312.03.1]), et l'indemnité allouée au défenseur d’office de l’intimé, par 1'344 fr. 60, TVA et débours compris, sont mis par deux tiers à la charge de B.________, le solde étant laissé à la charge de l’Etat. L’intimé ne sera tenu de rembourser à l’Etat les deux tiers de l’indemnité allouée à son défenseur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