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240 vom 16. Mai 2013</w:t>
      </w:r>
    </w:p>
    <w:p>
      <w:r>
        <w:t>VD Tribunal cantonal, 2013-05-16, FR</w:t>
      </w:r>
    </w:p>
    <w:p>
      <w:r>
        <w:rPr>
          <w:b/>
        </w:rPr>
        <w:t xml:space="preserve">Quelle: </w:t>
      </w:r>
      <w:r>
        <w:t>https://mcp.opencaselaw.ch/entscheid/vd_findinfo_Jug___2013___240</w:t>
      </w:r>
    </w:p>
    <w:p>
      <w:r>
        <w:t>FR: VD_FINDINFO Jug / 2013 / 240 du 16 mai 2013</w:t>
      </w:r>
    </w:p>
    <w:p>
      <w:r>
        <w:t>IT: VD_FINDINFO Jug / 2013 / 240 del 16 maggio 2013</w:t>
      </w:r>
    </w:p>
    <w:p>
      <w:pPr>
        <w:pStyle w:val="Heading2"/>
      </w:pPr>
      <w:r>
        <w:t>Regeste</w:t>
      </w:r>
    </w:p>
    <w:p>
      <w:r>
        <w:t>CONTRAINTE SEXUELLE, CONSOMMATION DE STUPÉFIANTS | 189 al. 1 CP, 19 al. 1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Kuhn/Jeanneret (éd.), Commentaire romand, Code de procédure pénale suisse, Bâle 2011, n. 3 ad art. 399 CPP). La déclaration d’appel doit, quant à elle, être déposée dans les vingt jours à compter de la notification du jugement motivé (art. 399 al. 3 CPP). Interjeté dans les formes et délais légaux par une partie ayant la qualité pour recourir contre le jugement d’un tribunal de première instance qui a clos la procédure (art. 398 al. 1 CPP), l’appel de W.________ est recevable.</w:t>
      </w:r>
    </w:p>
    <w:p>
      <w:r>
        <w:rPr>
          <w:b/>
        </w:rPr>
        <w:t>E. 2</w:t>
      </w:r>
    </w:p>
    <w:p>
      <w:r>
        <w:t>L’appelant conteste avoir contraint la plaignante à subir ses caresses, soutenant qu’elle était consentante. Il reproche aux premiers juges d’avoir retenu la version de la plaignante plutôt que la sienne, arguant du fait que le comportement adopté par N.________ peu après les faits serait incompatible avec une quelconque contrainte de sa part. 2.1.1 L’art. 10 CPP dispose que toute personne est présumée innocente tant qu'elle n'est pas condamnée par un jugement entré en force (al. 1). Le Tribunal apprécie librement les preuves recueillies selon l'intime conviction qu'il retire de l'ensemble de la procédure (al. 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op. cit., n. 34 ad art. 10 CPP et les références jurisprudentielles citées).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Au stade de l'appréciation des preuves, le grief d'arbitraire se confond avec celui déduit de la violation du principe in dubio pro reo (ATF 138 V 74 c. 7; ATF 124 IV 86 c. 2a).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(TF 6B_689/2011 du 1er mars 2012 consid. 1.1; TF 6B_992/2008 du 5 mars 2009 consid. 1.2).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2.1.2 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vise à réprimer de manière générale la contrainte en matière sexuelle. En introduisant la notion de pressions psychiques, le législateur a aussi voulu viser les cas où la victime se trouve dans une situation désespérée, sans pour autant que l'auteur ait recouru à la force physique. Pour déterminer si l’on se trouve en présence d’une contrainte sexuelle, il faut procéder à une appréciation globale des circonstances concrètes déterminantes. Une appréciation individualisée est nécessaire, laquelle doit reposer sur des éléments suffisamment typiques. C’est notamment le cas lorsque l’auteur provoque chez la victime des effets d’ordre psychique, tels que la surprise, la frayeur ou le sentiment d’une situation sans espoir propres à la faire céder et la rendant incapable de s'opposer à des atteintes sexuelles (ATF 128 IV 106 c.3a/bb; ATF 122 IV 97 c. 2b et les références citées ; TF 6B_570/2012 du 26 novembre 2012 consid. 1.3). L’infraction de contrainte sexuelle est consommée dès que l’acte d’ordre sexuel a eu lieu (Dupuis et al., op. cit., n. 33 ad art. 189 CP et la référence citée).</w:t>
      </w:r>
    </w:p>
    <w:p>
      <w:r>
        <w:rPr>
          <w:b/>
        </w:rPr>
        <w:t>E. 2.2</w:t>
      </w:r>
    </w:p>
    <w:p>
      <w:r>
        <w:t>En l’espèce, les premiers juges ont préféré la version de la plaignante à celle de l’appelant, relevant que N.________ a fait des déclarations constantes et nuancées, sans chercher à dramatiser le déroulement des faits, adoptant une attitude toute de retenue, factuelle et pudique, sans exagérer l’importance de l’opposition qu’elle avait manifestée et sans cacher le fait qu’elle n’avait pas crié, ni frappé l’appelant ou même qu’elle se serait violemment débattue. Elle n’a pas davantage caché le fait que son comportement lui apparaissait rétrospectivement irrationnel et stupide, faisant état de sa naïveté initiale puis de son incapacité à s’opposer aux invitations de l’appelant quand il s’était agi de le rejoindre sur le matelas et, plus tard, de lui communiquer son numéro de téléphone ou encore de boire quelque chose avec lui au buffet de la gare. Les premiers juges ont encore relevé que N.________ a d’emblée indiqué aux enquêteurs l’envoi et le contenu du sms adressé à l’appelant, quand bien même ce sms pouvait être interprété comme l’expression de sa propre culpabilité. Ils ont considéré que l’ensemble de ces éléments traduisait l’honnêteté et la sincérité de N.________, tant durant l’enquête qu’aux débats, ce que confirmait son audition enregistrée sur vidéo (jgt., p. 33). Les déclarations de l’appelant ont, en revanche, été considérées comme inconstantes et peu crédibles. A ce propos, les premiers juges ont relevé que les dénégations de l’appelant quant au fait qu’il n’aurait pas déshabillé N.________ sont contredites par le résultat indubitable de l’analyse du sperme retrouvé non seulement sur la blouse de la jeune fille mais surtout sur la vulve de celle-ci. Or, même placé devant l’incohérence de ses déclarations, l’appelant n’a pas été en mesure de fournir la moindre explication de la présence de son sperme à cet endroit, cet élément corroborant la version des faits donnée par N.________ (jgt., pp. 33-34). Les premiers juges ont enfin retenu le caractère subi et traumatisant des évènements qui s’étaient déroulés au domicile de l’appelant, C.________, sœur de la plaignante, ayant indiqué – à l’occasion de son audition du 8 mars 2011 - que cette dernière se trouvait en état de choc lorsqu’elle l’a vue l’après-midi du 27 février 2011. N.________ a d’ailleurs subi un arrêt de travail durant deux semaines. Sa sœur a encore expliqué que N.________ avait été initialement très réticente à dénoncer son agresseur, en raison de la crainte que lui inspirait la réaction présumée de ses parents et que ce n’est que la crainte de revivre son agression en se retrouvant confrontée à son collègue qu’elle avait finalement accepté de déposer plainte (jgt., p. 34). Enfin, les premiers juges ont retenu qu’aucun élément relationnel ne permettait de retenir que N.________, qui ne connaissait l’appelant que depuis un mois tout au plus, l’aurait faussement dénoncé. Compte tenu des convictions religieuses de la plaignante et de son inexpérience complète en matière de sexualité, il était invraisemblable qu’elle ait choisi de dénoncer des faits puis supporté le poids et la longueur d’une procédure pénale, en prenant le risque de se déconsidérer définitivement aux yeux de ses parents, au seul motif d’une déconvenue sentimentale à l’égard d’une vague connaissance professionnelle du double de son âge (jgt., p. 35). Cette analyse complète et convaincante ne prête pas le flanc à la critique et ne peut qu’être suivie. La Cour de céans relève que la présence du sperme sur la blouse et sur les parties intimes de la victime constitue un élément particulièrement accablant pour l’appelant, qui - encore aux débats d’appel - continue de nier avoir déshabillé sa victime, sans parvenir à donner une explication vraisemblable sur ce point. Cela témoigne du peu de crédibilité qui peut être donné à ses déclarations, la présence de son sperme s’inscrivant parfaitement et de façon logique dans la description des événements tels que donnée par la plaignante. S’agissant du contenu du sms envoyé par la plaignante à l’appelant peu après les faits, la Cour d’appel est convaincue par les explications qu’elle a données au sujet de sa propre culpabilité et des sentiments, notamment de honte, éprouvés après les faits, sentiments qui sont d’ailleurs très fréquemment ressentis chez les victimes d’abus sexuels. Il y a enfin lieu de relever que l’analyse relationnelle et psychologique à laquelle se sont livrés les premiers juges sur l’absence de motif de la plaignante à dénoncer sans raison le prévenu est pertinente. On ne trouve en effet aucun indice au dossier qui démontrerait que la plaignante pouvait avoir une raison d’être attirée par l’appelant, pas plus que de motif de vouloir se venger de lui par déception sentimentale. A cela s’ajoute le profil de personnalité de la plaignante, décrite de façon probante comme croyante pratiquante, sérieuse et inexpérimentée en matière sexuelle. Compte tenu de ce qui précède, la Cour de céans aboutit à la même appréciation des preuves que les premiers juges et acquiert la même conviction que celle exposée de manière complète dans le jugement attaqué (jgt., pp. 33 à 36). Les premiers juges n’ont dès lors pas apprécié de manière arbitraire les éléments de preuves à disposition et ils ont, à juste titre, considéré les déclarations de la plaignante comme plus probantes que celles de l’appelant. En définitive, la Cour d’appel pénale retient, comme les premiers juges (jgt., p. 36), que l’appelant est passé outre l’opposition exprimée à plusieurs reprises par la plaignante – tant verbalement que par la gestuelle – profitant de sa force physique et de l’état de sidération dans laquelle sa victime se trouvait, pour lui imposer des actes d’ordre sexuel. Partant, tous les éléments constitutifs de la contrainte sexuelle au sens de l’art. 189 CP sont en l’espèce réalisés. Ce grief, mal fondé, doit être rejeté.</w:t>
      </w:r>
    </w:p>
    <w:p>
      <w:r>
        <w:rPr>
          <w:b/>
        </w:rPr>
        <w:t>E. 3</w:t>
      </w:r>
    </w:p>
    <w:p>
      <w:r>
        <w:t>Dans l’hypothèse où sa condamnation pour contrainte sexuelle devait être confirmée, l’appelant considère que la peine prononcée à son encontre est trop sévère.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6B_759/2011 du 19 avril 2012 consid. 1.1; TF 6B_335/2012 du 13 août 2012 consid. 1.1).</w:t>
      </w:r>
    </w:p>
    <w:p>
      <w:r>
        <w:rPr>
          <w:b/>
        </w:rPr>
        <w:t>E. 3.2</w:t>
      </w:r>
    </w:p>
    <w:p>
      <w:r>
        <w:t>En l’espèce, les premiers juges ont retenu que la culpabilité de W.________ est lourde. A charge, ils ont relevé que l’appelant travaillait avec la plaignante, alors apprentie, et qu’il n’avait pas hésité à abuser du lien de confiance tissé dans ce cadre pour s’en prendre à l’intégrité de cette jeune fille dont il aurait pu être le père. L’appelant n’a pas hésité à reporter la responsabilité de ses actes sur sa victime tout en se prévalant de ses prétendues convictions religieuses censées lui interdire tout irrespect envers autrui. Les premiers juges ont noté une certaine perfidie de l’appelant à se retrancher derrière une bienséance et une morale de façade toute en n’hésitant pas à qualifier la victime de menteuse. Ils ont enfin relevé que l’appelant n’avait fait preuve d’aucune empathie pour la victime qu’il rend responsable de son incarcération (jgt., p. 37-38). A décharge, les premiers juges ont tenu compte de la relativement bonne intégration professionnelle de l’appelant, dont les qualités ont été soulignées tant par sa compagne J.________ que par la plaignante, et qui paraît avoir été toujours actif (jgt., p. 38). La Cour de céans considère, comme les premiers juges, que la culpabilité de l’appelant est lourde. A charge, elle tient compte du fait que, pour le seul assouvissement égoïste de ses pulsions sexuelles, il s’en est pris à une jeune fille inexpérimentée, profitant du double facteur de leur grande différence d’âge et de leur relation de collègues professionnels pour abuser de la confiance que ces circonstances induisaient chez la plaignante. L’appelant ne pouvait ignorer ces éléments, d’une part en raison de l’apparence physique particulièrement juvénile de sa victime et d’autre part de son statut d’apprentie. Il en a fait fi pour un mobile détestable. A charge, il convient également de retenir son attitude durant l’enquête et encore aux débats d’appel, l’appelant niant régulièrement l’évidence et n’hésitant pas à reporter la responsabilité de ses actes sur sa victime, mettant en doute les valeurs et la moralité de cette dernière. A décharge, il convient de tenir compte de la situation personnelle de l’appelant, qui dénote une bonne intégration sociale et professionnelle, ainsi que les renseignements favorables recueillis dans le milieu professionnel. Compte tenu de ce qui précède, les premiers juges ont correctement apprécié la culpabilité de W.________ et ont pris en considération tous les éléments pertinents, tant à charge qu’à décharge pour fixer la peine. Elle paraît ainsi adéquate et doit être confirmée. L'octroi du sursis partiel, qui n’est pas clairement contesté par l’appelant, doit également être confirmé dans la mesure où les considérations des premiers juges, s’agissant du pronostic mitigé (jgt., p. 39), sont adéquates et convaincantes.</w:t>
      </w:r>
    </w:p>
    <w:p>
      <w:r>
        <w:rPr>
          <w:b/>
        </w:rPr>
        <w:t>E. 4</w:t>
      </w:r>
    </w:p>
    <w:p>
      <w:r>
        <w:t>L’appelant conteste le montant de l’indemnité allouée à la plaignante à titre de réparation de son dommage dont il requiert la réduction à 2'000 francs.</w:t>
      </w:r>
    </w:p>
    <w:p>
      <w:r>
        <w:rPr>
          <w:b/>
        </w:rPr>
        <w:t>E. 4.1</w:t>
      </w:r>
    </w:p>
    <w:p>
      <w:r>
        <w:t>L'art. 49 al. 1 CO (Loi fédérale du 30 mars 1911 complétant le code civil suisse,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une simple somme d'argent, échappe à toute fixation selon des critères mathématiques, de sorte que son évaluation en chiffres ne saurait excéder certaines limites. L'indemnité allouée doit toutefois être équitable (ATF 130 III 699 c. 5.1; ATF 129 IV 22 c. 7.2; TF 6B_256/2009 du 24 juillet 2009 consid. 1.1). Le juge en proportionnera donc le montant à la gravité de l'atteinte subie et évitera que la somme accordée n'apparaisse dérisoire à la victime. Le Tribunal fédéral a rappelé que depuis 1998, des montants de 15'000 à 20'000 fr. ont régulièrement été octroyés en cas de viol et d'actes d'ordre sexuel, et parfois même des montants plus élevés (TF 6S.334/2003 du 10 octobre 2003).</w:t>
      </w:r>
    </w:p>
    <w:p>
      <w:r>
        <w:rPr>
          <w:b/>
        </w:rPr>
        <w:t>E. 4.2</w:t>
      </w:r>
    </w:p>
    <w:p>
      <w:r>
        <w:t>La Cour d’appel fait sienne l’analyse des premiers juges selon laquelle les actes subis par la plaignante ont été une première expérience traumatisante au plan de sa sexualité et qu’ils ont gravement blessé ses convictions religieuses, ce qui a probablement contribué à son sentiment de culpabilité. Comme relevé dans le jugement attaqué, si la plaignante parait avoir relativement bien surmonté cet événement traumatique, cette évolution favorable doit toutefois être appréciée avec prudence puisque N.________ n’a pas encore pu expérimenter toutes les conséquences du traumatisme, notamment au plan de sa vie amoureuse et qu’il n’est pas exclu que des séquelles se manifestent dans ce contexte. Compte tenu de ces éléments, le montant de l’indemnité, alloué par 8'000 fr., est adéquat et doit être confirmé. Le grief, mal fondé, doit être rejeté.</w:t>
      </w:r>
    </w:p>
    <w:p>
      <w:r>
        <w:rPr>
          <w:b/>
        </w:rPr>
        <w:t>E. 5</w:t>
      </w:r>
    </w:p>
    <w:p>
      <w:r>
        <w:t>L’appelant conteste son maintien en détention pour des motifs de sûreté.</w:t>
      </w:r>
    </w:p>
    <w:p>
      <w:r>
        <w:rPr>
          <w:b/>
        </w:rPr>
        <w:t>E. 5.1</w:t>
      </w:r>
    </w:p>
    <w:p>
      <w:r>
        <w:t>L’art. 231 al. 1 CPP dispose qu’au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 La let. a de cette disposition vise le risque de fuite, soit les indices concrets que le condamné a l'intention de s'enfuir à l'étranger ou de se cacher en Suisse pour se soustraire à l'exécution du jugement (Logos, in: Kuhn/Jeanneret (éd.), op. cit., n. 7 ad art. 231 CPP).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ATF 106 Ia 404, rés. JT 1982 IV 96).</w:t>
      </w:r>
    </w:p>
    <w:p>
      <w:r>
        <w:rPr>
          <w:b/>
        </w:rPr>
        <w:t>E. 5.2</w:t>
      </w:r>
    </w:p>
    <w:p>
      <w:r>
        <w:t>En l’occurrence, les premiers juges ont considéré que le maintien en détention de l’appelant se justifiait pour des motifs de sûreté, compte tenu de la faiblesse de ses attaches avec la Suisse, ce nonobstant ses liens récent avec J.________, et au vu de la propension d’ores et déjà manifesté dans le cours antérieur de la procédure à se soustraire à la justice pénale, que la présente condamnation ne peut que renforcer (jgt., p. 40). La Cour de céans fait sienne les considérations des premiers juges, étant précisé que l’appelant ne s’était pas présenté à l’audience du 14 novembre 2012 devant le Tribunal de première instance, alors qu’il avait été régulièrement cité par voie édictale (FAO du 11 septembre 2012), faute d’avoir pu l’atteindre par citation à comparaître adressée à sa dernière adresse connue (jgt., p. 2). Elle retient en outre que jusqu’aux débats, et malgré presque huit mois de détention avant jugement, l’appelant a persisté à nier l’évidence, rejetant la responsabilité de ses actes sur la plaignante. Ce comportement démontre un manque total de prise de conscience de la gravité des faits qui lui sont reprochés, qui laisse à craindre que l’appelant - semblant dénier toute pertinence à la peine prononcée à son encontre – tentera de se soustraire à son exécution. Partant, le maintient en détention de W.________ pour des motifs de sûreté doit être confirmé. Il convient encore de relever que la détention subie par W.________ depuis le jugement de première instance sera déduite.</w:t>
      </w:r>
    </w:p>
    <w:p>
      <w:r>
        <w:rPr>
          <w:b/>
        </w:rPr>
        <w:t>E. 6</w:t>
      </w:r>
    </w:p>
    <w:p>
      <w:r>
        <w:t>En conclusion, l'appel doit être rejeté et le jugement attaqué intégralement confirmé.</w:t>
      </w:r>
    </w:p>
    <w:p>
      <w:r>
        <w:rPr>
          <w:b/>
        </w:rPr>
        <w:t>E. 7</w:t>
      </w:r>
    </w:p>
    <w:p>
      <w:r>
        <w:t>Vu l’issue de la cause, les frais d’appel les frais de la procédure d'appel doivent être mis à la charge de W.________ (art. 428 al. 1 CPP). Outre l'émolument, qui se monte à 2'460 fr., (art. 21 al. 1 et 2 TFJP [Tarif des frais judiciaires pénaux du 28 septembre 2010, RSV 312.03.1]), ces frais comprennent les indemnités allouées aux conseils d'office de W.________ et de N.________. Au vu de la complexité de la cause, des opérations mentionnées dans la liste des opérations transmise par le défenseur d’office de W.________, et de la connaissance du dossier acquise en première instance, les arguments plaidés en appel ayant tous été examinés , il convient d'admettre que Me Jérôme Campart a dû consacrer 8 heures à l'exécution de son mandat. L'indemnité sera dès lors arrêtée à 1'440 fr., à laquelle il convient d’ajouter 24 fr. de débours et 240 fr. pour deux vacations, plus la TVA par 136 fr. 20, soit un total de 1'840 fr. 20, TVA et débours inclus. Il convient également d'admettre que le conseil d'office de N.________, Me Manuela Ryter Godel, a dû consacrer 3 heures et 30 minutes à l'exécution de son mandat. Son indemnité sera dès lors arrêtée à 630 fr., à laquelle il convient d’ajouter 3 fr. 60 de débours et 120 fr. pour une vacation, plus la TVA par 59 fr. 65, soit un total de 813 fr. 25, TVA et débours compris. W.________ ne sera tenu de rembourser à l’Etat le montant des indemnités allouées en faveur de son défenseur d'office et du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