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233 vom 25. April 2013</w:t>
      </w:r>
    </w:p>
    <w:p>
      <w:r>
        <w:t>VD Tribunal cantonal, 2013-04-25, FR</w:t>
      </w:r>
    </w:p>
    <w:p>
      <w:r>
        <w:rPr>
          <w:b/>
        </w:rPr>
        <w:t xml:space="preserve">Quelle: </w:t>
      </w:r>
      <w:r>
        <w:t>https://mcp.opencaselaw.ch/entscheid/vd_findinfo_Jug___2013___233</w:t>
      </w:r>
    </w:p>
    <w:p>
      <w:r>
        <w:t>FR: VD_FINDINFO Jug / 2013 / 233 du 25 avril 2013</w:t>
      </w:r>
    </w:p>
    <w:p>
      <w:r>
        <w:t>IT: VD_FINDINFO Jug / 2013 / 233 del 25 aprile 2013</w:t>
      </w:r>
    </w:p>
    <w:p>
      <w:pPr>
        <w:pStyle w:val="Heading2"/>
      </w:pPr>
      <w:r>
        <w:t>Regeste</w:t>
      </w:r>
    </w:p>
    <w:p>
      <w:r>
        <w:t>DROIT D'ÊTRE ENTENDU, ACTE D'ACCUSATION, FAUX INTELLECTUEL DANS LES TITRES, FAUX MATÉRIEL DANS LES TITRES, ESCROQUERIE | 146 al. 1 CP, 251 ch. 1 CP, 29 al. 2 Cst.</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L.________ est recevable.</w:t>
      </w:r>
    </w:p>
    <w:p>
      <w:r>
        <w:rPr>
          <w:b/>
        </w:rPr>
        <w:t>E. 2</w:t>
      </w:r>
    </w:p>
    <w:p>
      <w:r>
        <w:t>L’appelante invoque d’abord une violation de son droit d’être entendu, selon le principe d’accusation, à savoir qu’elle n’a pas pu connaître les faits reprochés avec exactitude et aurait ainsi été condamnée sur la base d’un état de fait différent de celui de l’acte d’accusation. En particulier, le tribunal de première instance aurait retenu en définitive un dommage subi par le bailleur ou son représentant, alors que l’acte d’accusation ne l’évoquait pas.</w:t>
      </w:r>
    </w:p>
    <w:p>
      <w:r>
        <w:rPr>
          <w:b/>
        </w:rPr>
        <w:t>E. 2.1</w:t>
      </w:r>
    </w:p>
    <w:p>
      <w:r>
        <w:t>Composante du droit d’être entendu découlant de l’art. 29 al. 2 Cst (Constitution fédérale de la Confédération suisse du 18 avril 1999; RS 101), le principe d’accusation implique que le prévenu sache exactement les faits qui lui sont imputés et quelles sont les peines et mesures auxquelles il s’expose afin qu’il puisse s’expliquer et préparer efficacement sa défense. Une condamnation fondée sur un état de fait différent de celui qui figure dans l’acte d’accusation, ou sur des dispositions légales différentes, viole le principe d’immutabilité du procès, donc le droit d’être entendu du prévenu, si l’acte d’accusation n’a pas été complété ou modifié d’une manière suffisante en temps utile au cours de la procédure, l’accusé en ayant été informé de façon à pouvoir présenter ses observations et organiser sa défense (ATF 126 I 19 c. 2a et c pp. 21 ss).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Selon l’art. 325 al. 2 CPP, le ministère public peut présenter un acte d’accusation alternatif ou, pour le cas où ses conclusions principales seraient rejetées, un acte d’accusation subsidiaire.</w:t>
      </w:r>
    </w:p>
    <w:p>
      <w:r>
        <w:rPr>
          <w:b/>
        </w:rPr>
        <w:t>E. 2.2</w:t>
      </w:r>
    </w:p>
    <w:p>
      <w:r>
        <w:t>En l’espèce, c’est en vain que l’appelante se prévaut d’une violation de son droit à être informée dans le cadre de la mise en accusation. En effet, l’acte d’accusation précise que le procédé frauduleux (imitation de la signature sur le contrat de bail et envoi d’un tiers à l’état des lieux) a permis à l’appelante d’obtenir la location de l’appartement au nom de Y.________, les loyers n’ayant ensuite pas été payés régulièrement. Il en résulte donc clairement que le bailleur a subi un préjudice. Le montant en est même précisé, puisque l’ordonnance indique que la gérance a réclamé la somme de 10’060 fr. à Y.________. Peu importe que cette dernière ait retiré sa plainte et que la gérance n’en ait jamais déposée une, dès lors que les infractions de faux dans les titres et d’escroquerie se poursuivent d’office. Le premier grief doit donc être rejeté.</w:t>
      </w:r>
    </w:p>
    <w:p>
      <w:r>
        <w:rPr>
          <w:b/>
        </w:rPr>
        <w:t>E. 3</w:t>
      </w:r>
    </w:p>
    <w:p>
      <w:r>
        <w:t>L’appelante conteste ensuite s’être rendue coupable de faux dans les titres. Selon elle, le fait de signer d’un autre nom que le sien ne serait pas forcément constitutif de faux. Elle aurait en réalité signé le bail pour le compte de Y.________, sans faire état du rapport de représentation, mais avec l’accord exprès de cette dernière. Elle aurait reçu tous les documents produits à la gérance de Y.________, ce qui démontrerait l’intention de celle-ci de louer l’appartement. N’en ayant en définitive plus la nécessité, Y.________ aurait alors décidé d’ouvrir, avec l’appelante, un salon de massage. Les éléments objectifs du faux dans les titres ne seraient par conséquent pas réalisés. En outre, l’appelante n’aurait eu aucun dessein d’obtenir un avantage illicite et aucune intention de réaliser un faux.</w:t>
      </w:r>
    </w:p>
    <w:p>
      <w:r>
        <w:rPr>
          <w:b/>
        </w:rPr>
        <w:t>E. 3.1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(TF 6B_114/2013 du 1 er juillet 2013 c. 5.1; ATF 132 IV 57 c. 5.1.1; ATF 128 IV 265 c. 1.1.1 et les réf. citées; Gribbom, Strafgesetzbuch, Leipziger Kommentar, Grosskommentar, 11 e éd., § 267 nn. 163 et 165; P. Cramer, in: Schönke/Schröder, Strafgesetzbuch, Kommentar, 26 e éd., § 267 n. 49). Il est également sans importance de savoir si le contenu d'un tel titre est mensonger ou non (ATF 123 IV 17 c.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265 c. 1.1.2 et 1.1.3 et les réf. citées).</w:t>
      </w:r>
    </w:p>
    <w:p>
      <w:r>
        <w:rPr>
          <w:b/>
        </w:rPr>
        <w:t>E. 3.2</w:t>
      </w:r>
    </w:p>
    <w:p>
      <w:r>
        <w:t>En l’occurrence, l’appelante perd de vue qu’elle a frauduleusement imité la signature de Y.________, en la contrefaisant. Il résulte en effet de la comparaison des signatures figurant au dossier (cf. par exemple PV aud. 4 pour la version authentique) que cette dernière signe de son prénom, signature imitée de la même manière par l’appelante sur le contrat de bail frauduleux (P. 7/2). Le destinataire du titre, soit en l’espèce le bailleur, ne peut dès lors qu’être trompé au sujet de l’identité réelle du locataire. Or, une signature d’emprunt ne peut être admise que lorsqu’il n’en résulte aucune tromperie sur l’identité du signataire (ATF 132 IV 57 c. 5.1). L’abus de signature, hypothèse expressément prévue à l’art. 251 ch. 1 al. 2 CP, est donc réalisé. Peu importe en définitive que Y.________ ait été au courant de l’apposition de la signature, comme semble l’avoir en définitive retenu le premier juge, dès lors que le contrat de bail ainsi conclu était destiné à tromper autrui. En effet, Y.________ n’entendait quoi qu’il en soit pas occuper le logement et payer le loyer, mais, dans la version retenue au bénéfice du doute, les locaux auraient été utilisés pour exploiter avec l’appelante un « salon de massage ». Il ne s’agissait donc aucunement de représenter le locataire, soit le réel occupant du logement, comme tente de le soutenir l’appelante, mais de tromper le bailleur sur l’utilisation réelle des locaux. Peu importe à cet égard que Y.________ était complice ou non de ce stratagème. Dans le cas concret, l’auteur apparent ne coïncide pas avec l’auteur réel, dès lors que le logement n’était quoi qu’il en soit pas destiné au signataire du bail et la jurisprudence invoquée par l’appelante est inopérante en l’espèce. De toute manière, le contrat de bail est un contrat à caractère personnel, le locataire ne pouvant sous-louer tout ou partie de la chose qu’avec le consentement du bailleur (art. 262 al. 1 CO). A supposer même que Y.________ entendait occuper le logement, il lui appartenait ainsi de signer le bail personnellement (ATF 128 IV 265 c. 1.1.2). Subjectivement, il est établi que l’appelante a agi dolosivement, dans le dessein de faire un profit illicite (cf. infra ch. 4). Elle ne pouvait d’ailleurs ignorer qu’elle n’était pas autorisée à usurper l’identité de Y.________, dans la mesure où elle a déjà été condamnée pour des faits identiques par le Tribunal correctionnel de l’arrondissement de Lausanne le 1 er septembre 2008. Les éléments objectifs et subjectifs de l’infraction à l’art. 251 CP sont en conséquence réunis et la condamnation de l’appelante pour faux dans les titres doit être confirmée.</w:t>
      </w:r>
    </w:p>
    <w:p>
      <w:r>
        <w:rPr>
          <w:b/>
        </w:rPr>
        <w:t>E. 4</w:t>
      </w:r>
    </w:p>
    <w:p>
      <w:r>
        <w:t>L’appelante conteste également sa condamnation pour escroquerie. Selon elle, il n’y aurait eu aucune tromperie, dès lors qu’elle agissait avec l’accord exprès de l’intéressée et que les loyers ont été payés. En outre, le jugement ne décrirait aucun procédé astucieux, de sorte qu’une escroquerie ne pourrait quoi qu’il en soit pas être retenue. Enfin, il n’y aurait pas de lien de causalité entre l’éventuelle tromperie et le dommage, les loyers impayés n’étant pas le résultat de la signature du contrat de bail.</w:t>
      </w:r>
    </w:p>
    <w:p>
      <w:r>
        <w:rPr>
          <w:b/>
        </w:rPr>
        <w:t>E. 4.1</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in initio). Sur le plan objectif, l’escroquerie réprimée par l’art. 146 CP suppose en particulier une tromperie astucieuse. Selon la jurisprudence,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6B_114/2013 du 1 er juillet 2013 c. 4.1;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6B_314/2011 du 27 octobre 2011 c. 3.2.1 et les réf. citées).</w:t>
      </w:r>
    </w:p>
    <w:p>
      <w:r>
        <w:rPr>
          <w:b/>
        </w:rPr>
        <w:t>E. 4.2</w:t>
      </w:r>
    </w:p>
    <w:p>
      <w:r>
        <w:t>En l’espèce, le comportement frauduleux de l’appelante, qui a contrefait la signature d’un tiers et qui a, de la sorte, amené le cocontractant à conclure avec une personne qui n’avait en réalité aucune intention d’assumer des obligations de locataire, c’est-à-dire l’appelante elle-même, a déterminé le bailleur à des actes préjudiciables à ses intérêts pécuniaires. Le dommage s’est concrétisé par des loyers impayés à concurrence de 10’060 fr., l’infraction étant ainsi consommée. Le procédé astucieux réside dans l’usage d’un faux qui a empêché le bailleur de vérifier la situation financière de son interlocutrice. Or, celle de l’appelante était obérée et ne lui aurait pas permis de conclure le contrat, en raison de nombreuses poursuites et actes de défaut de biens (cf. jgt., p. 11). L’appelante a agi de façon dolosive, en recherchant à s’enrichir et enrichir un tiers, dans l’hypothèse où les gains devaient être partagés avec Y.________, alors même que sa situation financière ne lui permettait pas de conclure le contrat de location. L’enrichissement était illégitime, car il devait être réalisé par l’encaissement de loyers versés par des sous-locataires dans l’ignorance du bailleur et alors que le loyer principal n’était pas réglé, comme cela s’est produit. Tous les éléments constitutifs de l’escroquerie sont par conséquent réunis et la condamnation pour ce motif doit également être confirmée.</w:t>
      </w:r>
    </w:p>
    <w:p>
      <w:r>
        <w:rPr>
          <w:b/>
        </w:rPr>
        <w:t>E. 5</w:t>
      </w:r>
    </w:p>
    <w:p>
      <w:r>
        <w:t>L’appelante ne conteste expressément ni le genre, ni la quotité de la peine, pas plus que le refus de l’octroi du sursis. Il y a cependant lieu de statuer d'office sur ces points, dès lors que L.________ a conclu principalement à son acquittement.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5.2</w:t>
      </w:r>
    </w:p>
    <w:p>
      <w:r>
        <w:t>L’appelante s’est rendue coupable de faux dans les titres et d’escroquerie. Elle répond d’infractions en concours. Elle n’a d’ailleurs pas hésité à récidiver quelques mois après sa condamnation pour des faits de même nature, malgré un délai d’épreuve de quatre ans. Sa culpabilité est ainsi importante, d’autant plus qu’elle a servi plusieurs versions en cours d’instruction, dans le but de se soustraire à ses responsabilités. Au regard de l’ensemble de ces éléments, la peine de cent vingt jours-amende prononcée par le premier juge est adéquate. La valeur du jour-amende doit être fixée à 20 francs pour tenir compte de la situation personnelle et économique de la prévenue. Cette peine sera ferme, le pronostic étant défavorable.</w:t>
      </w:r>
    </w:p>
    <w:p>
      <w:r>
        <w:rPr>
          <w:b/>
        </w:rPr>
        <w:t>E. 6</w:t>
      </w:r>
    </w:p>
    <w:p>
      <w:r>
        <w:t>L’appelante conteste enfin la révocation du sursis octroyé le 1 er septembre 2008.</w:t>
      </w:r>
    </w:p>
    <w:p>
      <w:r>
        <w:rPr>
          <w:b/>
        </w:rPr>
        <w:t>E. 6.1</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6.2</w:t>
      </w:r>
    </w:p>
    <w:p>
      <w:r>
        <w:t>A l’instar du premier juge, on retiendra que les conditions de la révocation du sursis accordé le 1 er septembre 2008 sont réalisées, le pronostic étant défavorable. L’appelante a récidivé très peu de temps après sa précédente condamnation, dans le même domaine d’infractions. Elle persiste à nier toute faute. Sa situation personnelle ne présente aucun élément positif permettant d’atténuer le risque de récidive. Partant, le jugement entrepris qui ordonne la révocation du sursis accordé le 1 er septembre 2008 par le Tribunal correctionnel de l’arrondissement de Lausanne sera confirmé.</w:t>
      </w:r>
    </w:p>
    <w:p>
      <w:r>
        <w:rPr>
          <w:b/>
        </w:rPr>
        <w:t>E. 7</w:t>
      </w:r>
    </w:p>
    <w:p>
      <w:r>
        <w:t>La condamnation pour les infractions de faux dans les titres et d’escroquerie étant confirmée, les conclusions de l’appelante tendant à la libération du paiement des frais de la cause et à l’allocation d’une indemnité au sens de l’art. 429 CPP, liées à l’acquittement demandé, sont sans objet.</w:t>
      </w:r>
    </w:p>
    <w:p>
      <w:r>
        <w:rPr>
          <w:b/>
        </w:rPr>
        <w:t>E. 8</w:t>
      </w:r>
    </w:p>
    <w:p>
      <w:r>
        <w:t>En définitive, l’appel formé par L.________ est rejeté et le jugement rendu le 25 avril 2013 par le Tribunal de police de l’arrondissement de Lausanne est confirmé.</w:t>
      </w:r>
    </w:p>
    <w:p>
      <w:r>
        <w:rPr>
          <w:b/>
        </w:rPr>
        <w:t>E. 9</w:t>
      </w:r>
    </w:p>
    <w:p>
      <w:r>
        <w:t>Vu l'issue de la cause, les frais d'appel doivent être mis à la charge de L.________ (art. 428 al. 1 CPP). Outre l'émolument, qui se monte à 2’050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l’appelante une indemnité arrêtée à 1’998 fr., TVA et débours inclus. L.________ ne sera tenue de rembourser à l’Etat le montant des indemnités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