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221 vom 29. April 2013</w:t>
      </w:r>
    </w:p>
    <w:p>
      <w:r>
        <w:t>VD Tribunal cantonal, 2013-04-29, FR</w:t>
      </w:r>
    </w:p>
    <w:p>
      <w:r>
        <w:rPr>
          <w:b/>
        </w:rPr>
        <w:t xml:space="preserve">Quelle: </w:t>
      </w:r>
      <w:r>
        <w:t>https://mcp.opencaselaw.ch/entscheid/vd_findinfo_Jug___2013___221</w:t>
      </w:r>
    </w:p>
    <w:p>
      <w:r>
        <w:t>FR: VD_FINDINFO Jug / 2013 / 221 du 29 avril 2013</w:t>
      </w:r>
    </w:p>
    <w:p>
      <w:r>
        <w:t>IT: VD_FINDINFO Jug / 2013 / 221 del 29 aprile 2013</w:t>
      </w:r>
    </w:p>
    <w:p>
      <w:pPr>
        <w:pStyle w:val="Heading2"/>
      </w:pPr>
      <w:r>
        <w:t>Regeste</w:t>
      </w:r>
    </w:p>
    <w:p>
      <w:r>
        <w:t>AFFILIATION À UNE BANDE, AGGRAVATION DE LA PEINE, CONSOMMATION DE STUPÉFIANTS, ALCOOL, TAUX D'ALCOOLÉMIE, RESPONSABILITÉ RESTREINTE{DROIT PÉNAL}, FIXATION DE LA PEINE, SURSIS PARTIEL À L'EXÉCUTION DE LA PEINE | 19 al. 2 CP, 43 CP, 50 CP</w:t>
      </w:r>
    </w:p>
    <w:p>
      <w:pPr>
        <w:pStyle w:val="Heading2"/>
      </w:pPr>
      <w:r>
        <w:t>Erwägungen</w:t>
      </w:r>
    </w:p>
    <w:p>
      <w:r>
        <w:rPr>
          <w:b/>
        </w:rPr>
        <w:t>E. 1.1</w:t>
      </w:r>
    </w:p>
    <w:p>
      <w:r>
        <w:t>L’appel doit être annoncé dans les dix jours qui suivent la communication du jugement, soit la remise ou la notification du dispositif écrit. La déclaration d’appel doit, quant à elle, être déposée dans les vingt jours à compter de la notification du jugement motivé (cf. art. 399 al. 1 et 3 CPP). Interjeté dans les formes et délais légaux contre le jugement d’un tribunal de première instance ayant clos la procédure (cf. art. 398 al. 1 CPP), l’appel est recevable.</w:t>
      </w:r>
    </w:p>
    <w:p>
      <w:r>
        <w:rPr>
          <w:b/>
        </w:rPr>
        <w:t>E. 1.2</w:t>
      </w:r>
    </w:p>
    <w:p>
      <w:r>
        <w:t>Faisant valoir que la Procureure n’avait ni formé appel joint ni contesté les faits, l’appelant a requis que le rapport produit à l’audience soit retranché du dossier. La pièce litigieuse n’est pas utile pour juger la présente cause. La Cour de céans n’en tiendra dès lors pas compte, sans qu’il soit nécessaire de statuer sur la requête de l’appelant.</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w:t>
      </w:r>
    </w:p>
    <w:p>
      <w:r>
        <w:rPr>
          <w:b/>
        </w:rPr>
        <w:t>E. 3</w:t>
      </w:r>
    </w:p>
    <w:p>
      <w:r>
        <w:t>L’appelant soutient que, lors de l’agression du 23 juin 2012 (cf. supra lettre C ch. 2.11), il avait bu passablement d’alcool et consommé de la cocaïne. Il fait grief aux premiers juges de ne pas avoir tenu compte, dans l’état de fait, de l’effet conjugué de ces deux substances. Or, « ses addictions soulèveraient […] la question de sa responsabilité pénale diminuée ».</w:t>
      </w:r>
    </w:p>
    <w:p>
      <w:r>
        <w:rPr>
          <w:b/>
        </w:rPr>
        <w:t>E. 3.1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3.2</w:t>
      </w:r>
    </w:p>
    <w:p>
      <w:r>
        <w:t>En l’espèce, il ressort du dossier que, lors de son arrestation du 23 juin 2013, l’appelant présentait une alcoolémie de 1,11 g ‰. Cette consommation n’est pas suffisante en soi pour retenir une altération significative de ses capacités. Par ailleurs, le prévenu a déclaré avoir aussi consommé de la cocaïne (Dossier B, PV aud. 2, p. 3; PV aud. 3, li. 58 et 59). Ses déclarations ne présentent toutefois, dans l’ensemble, aucune crédibilité. A cet égard, on se référera notamment à son audition du 30 mai 2012 (Dossier D, PV aud. 7, questions 25 et 26), au cours de laquelle le prévenu, interrogé sur son comportement du 29 mai 2012, a dit avoir bu « environ sept grandes bières ». Lorsque le policier lui a indiqué que le test d’alcoolémie avait révélé un taux de 0,39 g ‰, il n’a rien trouvé à répondre. Cela étant, même si l’on devait admettre qu’il avait bien consommé de la cocaïne – cela devait lui arriver puisqu’il a été arrêté porteur d’un parachute de ce stupéfiant –, aucun élément n’indique que cette consommation aurait eu pour effet d’altérer sa conscience ou sa volonté. En effet, les témoins n’ont pas signalé un comportement incohérent et dans l’ensemble, on constate que le prévenu est capable de violence sans consommation importante préalable. Enfin, rien au dossier n’étaie la thèse d’une addiction à la drogue ou à l’alcool. En définitive, il n’est pas établi que la consommation d’alcool ou de drogue du prévenu ait joué un rôle dans le cadre de l’agression du 23 juin 2012. Mal fondé, le grief de l’appelant doit être rejeté.</w:t>
      </w:r>
    </w:p>
    <w:p>
      <w:r>
        <w:rPr>
          <w:b/>
        </w:rPr>
        <w:t>E. 4</w:t>
      </w:r>
    </w:p>
    <w:p>
      <w:r>
        <w:t>L’appelant conteste avoir formé une « bande » avec son frère. Il soutient que s’ils agissaient ensemble, c’était en raison de leur lien affectif et familial.</w:t>
      </w:r>
    </w:p>
    <w:p>
      <w:r>
        <w:rPr>
          <w:b/>
        </w:rPr>
        <w:t>E. 4.1</w:t>
      </w:r>
    </w:p>
    <w:p>
      <w:r>
        <w:t>L’affiliation à une bande est envisagée comme une circonstance aggravante en raison de la dangerosité particulière résultant de la commission en commun de l’infraction, élément qui est réputé renforcer les auteurs dans leur activité criminelle et favoriser ainsi la commission de nouvelles infractions. Selon la jurisprudence, on parle de bande lorsque deux ou plusieurs auteurs manifestent expressément ou par actes concluants la volonté de s’associer en vue de commettre un certain nombre d’infractions, même si ces derniers n’ont pas nécessairement de plan précis et même si les infractions en cause ne sont pas encore clairement définies. Il faut de surcroît, pour parler de bande, constater un certain degré d’organisation et une certaine intensité dans la collaboration, en sorte que l’on puisse parler d’une équipe relativement soudée et stable, même si cette dernière n’a pas nécessairement pour vocation de s’inscrire dans la durée (ATF 132 IV 132 c. 5.2, JT 2007 IV 134; TF 6B_890/2008 du 6 avril 2009; TF 6S.13/2004 du 17 février 2004; TF 6S.119/2003 du 15 mai 2003). La notion de bande comprend donc trois éléments : la réunion de plusieurs personnes, la commission en commun d’une infraction d’un genre donné et la volonté d’en commettre plusieurs du même genre, ainsi qu’un certain degré d’organisation au sein de la bande (Dupuis et alii, Petit Commentaire, Code pénal, Bâle 2012, nn. 24 ss ad art. 139 CP).</w:t>
      </w:r>
    </w:p>
    <w:p>
      <w:r>
        <w:rPr>
          <w:b/>
        </w:rPr>
        <w:t>E. 4.2</w:t>
      </w:r>
    </w:p>
    <w:p>
      <w:r>
        <w:t>En l’occurrence, les prévenus sont frères et semblent assez « complices » au sens commun du terme. Ils avaient donc une raison d’être ensemble. Ils ne passaient toutefois pas tout leur temps l’un avec l’autre, chacun ayant commis seul certaines infractions. Cela étant, la cour constate que leur comportement était plus violent lorsqu’ils étaient réunis. Par ailleurs, ils se mettaient d’accord sur les coups à commettre. Ainsi, avant l’agression du 23 juin 2012, B.P.________ a remarqué que les victimes avaient beaucoup d’argent et a proposé à son frère de les détrousser (Dossier B, PV aud. 2, p. 3). Enfin, lorsque l’un avait des problèmes, l’autre venait à la rescousse. Leur degré d’organisation était certes limité et ne comportait pas un partage défini des rôles. Toutefois, les deux frères, en usant de leur complicité fraternelle, se sont clairement associés et organisés en vue de commettre des infractions. C’est donc à bon droit que les premiers juges ont retenu la circonstance aggravante de la bande. Mal fondé, le grief de l’appelant doit être rejeté.</w:t>
      </w:r>
    </w:p>
    <w:p>
      <w:r>
        <w:rPr>
          <w:b/>
        </w:rPr>
        <w:t>E. 5</w:t>
      </w:r>
    </w:p>
    <w:p>
      <w:r>
        <w:t>L’appelant conteste la quotité de sa peine. Il fait valoir diverses circonstances qu’il estime être à décharge, à savoir son casier judiciaire vierge, le fait que les autorités l’ont relâché plusieurs fois après des infractions, ses difficultés linguistiques, sa faible formation professionnelle, son « sentiment de n’avoir aucun avenir décent devant lui », son repentir sincère ainsi que ses abus d’alcool et de cocaïne, qui auraient diminué sa responsabilité.</w:t>
      </w:r>
    </w:p>
    <w:p>
      <w:r>
        <w:rPr>
          <w:b/>
        </w:rPr>
        <w:t>E. 5.1.1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w:t>
      </w:r>
    </w:p>
    <w:p>
      <w:r>
        <w:rPr>
          <w:b/>
        </w:rPr>
        <w:t>E. 5.1.2</w:t>
      </w:r>
    </w:p>
    <w:p>
      <w:r>
        <w:t>Selon l’art. 19 al. 2 CP (Code pénal suisse du 21 décembre 1937, RS 311.0), le juge atténue la peine si, au moment d’agir, l’auteur ne possédait que partiellement la faculté d’apprécier le caractère illicite de son acte ou de se déterminer d’après cette appréciation. S’agissant de l’influence d’une alcoolisation sur la responsabilité pénale, la jurisprudence du Tribunal fédéral admet que l’on peut partir de la présomption réfragable au vu des éléments concrets qu’un taux d’alcoolémie supérieur à 3 g ‰ implique une irresponsabilité totale (Favre/PelIet/Stoudmann, Code pénal annoté, 3e éd., Lausanne 2007, n. 2.4 ad art. 19 CP) et qu’en présence d’un taux d’alcoolémie se situant entre 2 et 3 g ‰, il existe une présomption d’irresponsabilité partielle (ATF 122 IV 49 c. lb, JT 1998 IV 10; ATF 119 IV 120 c. 2d, JT 1994 I  779; ATF 117 IV 292 c. 2d, JT 1991 I 745). Le taux d’alcoolémie n’est toutefois qu’un indice parmi d’autres d’une altération de la capacité de discernement; les circonstances personnelles, telles que la constitution physique, et des circonstances de fait, telles que l’attitude de l’auteur au moment de la commission de l’infraction, peuvent cependant conduire le juge à refuser une diminution de responsabilité (ATF 122 IV 49, JT 1998 IV 10, précité; ATF 119 IV 120, précité; JT 1994 I 779, précité). Le seul abrutissement passager ou la désinhibition provoquée par l’absorption d’alcool ou de médicaments altérant la conscience et la volonté ne suffit pas pour admettre une diminution de responsabilité (ATF 107 IV 3).</w:t>
      </w:r>
    </w:p>
    <w:p>
      <w:r>
        <w:rPr>
          <w:b/>
        </w:rPr>
        <w:t>E. 5.2</w:t>
      </w:r>
    </w:p>
    <w:p>
      <w:r>
        <w:t>En l’espèce, le tribunal correctionnel a estimé que la culpabilité de C.P.________ était très importante. Il a relevé que le prévenu avait immédiatement commencé à mal se comporter dès son arrivée en Suisse, qu’il usait de violence lorsqu’il se sentait coincé, que le choix de ses cibles dénotait une lâcheté certaine, qu’il admettait très peu les actes qui lui étaient reprochés, qu’il reportait la responsabilité de son comportement sur la société et enfin, que les regrets exprimés n’avaient pas paru sincères. Ces éléments à charge sont pertinents et doivent être retenus. Au surplus, la cour retiendra la gratuité des coups donnés aux victimes lors du brigandage du 23 juin 2012, après soustraction des objets de valeur, ce qui dénote une méchanceté pure; la multiplication d’infractions en un temps très bref; le concours, qui n’a pas été mentionné expressément mais dont il a été tenu compte puisque l’énumération des dispositions appliquées comporte l’art. 49 CP; la réitération d’actes punissables malgré plusieurs interpellations; le choix délibéré d’une vie de vagabond et de criminel alors que le prévenu aurait pu se contenter de l’aide gratuite qu’il recevait en sa qualité de requérant d’asile; et enfin, le comportement détestable en prison, qui constitue un indice supplémentaire de la mentalité du prévenu. A décharge, la cour retiendra la jeunesse difficile du prévenu, en raison notamment de sa courte scolarisation et l’absence de formation professionnelle sanctionnée par un diplôme, même s’il semble que les deux frères, qui faisaient partie d’une fratrie plus large, ont été élevés par leurs parents et n’ont pas été livrés à eux-mêmes. Pour le reste, il est relevé que selon la jurisprudence, l’absence d’antécédents a un effet neutre sur la fixation de la peine, sauf circonstances exceptionnelles, inexistantes en l’espèce, et n’a donc pas à être prise en compte comme élément à décharge (ATF 136 IV 1 c. 2.6.4). Au demeurant, le prévenu est arrivé en Suisse au printemps 2012 de sorte que le casier judiciaire suisse n’est pas représentatif de la vie de l’intéressé. De plus, il n’a pas 30 ans de sorte qu’il ne peut pas se targuer d’une longue vie exemplaire. Par ailleurs, le fait que le prévenu ait été interpellé puis relâché à plusieurs reprises ne saurait constituer une circonstance à décharge. Compte tenu de son âge et de son expérience, l’appelant ne pouvait se tromper sur la portée du message qu’il recevait. Il savait qu’il enfreignait la loi et ces multiples avertissements n’ont eu aucun effet dissuasif. S’agissant de ses difficultés linguistiques, il est relevé que le prévenu a choisi de venir en Suisse en sachant qu’il n’en parlait pas la langue. Par ailleurs, selon ses explications, il a accompli une formation — certes sur le tas — et n’a aucun problème de santé, de sorte qu’il est apte à une activité professionnelle. Il aurait ainsi pu, comme la plupart des gens, s’employer honnêtement. Du reste, comme requérant d’asile, il recevait une allocation — certes modeste — qui devait néanmoins suffire pour survivre, tous les requérants ne devenant pas des voleurs. On ne distingue en outre aucun repentir sincère du prévenu. Tout au long de la procédure, il n’a cessé de minimiser son rôle ou sa responsabilité. Ainsi, après son arrestation, il a pleuré sur son propre sort (« je n’ai pas eu de chance dans la vie ») et reporté la faute de ses actes sur la société (« c’est la faute de la société »; cf. Dossier B, PV aud. 3, p. 2). Aux débats de première instance, il a certes déclaré être désolé et présenter ses excuses pour tout ce qu’il avait fait, et signé une reconnaissance de dette en faveur d’un plaignant. Il a néanmoins continué à contester une grande part des faits et affirmé que, le 23 juin 2012, il était plus saoul que ses victimes (jgt, p. 10) alors que le dossier démontre le contraire. Ces éléments démontrent une prise de conscience uniquement liée à sa souffrance personnelle. Enfin, comme retenu ci-dessus (cf. supra c. 3.2), il n’est pas établi que la consommation d’alcool ou de drogue du prévenu ait joué un rôle dans le cadre des infractions commises. Au surplus, selon la jurisprudence (cf. supra c. 5.1.2), un taux d’alcoolémie de 1,11 g ‰ n’est pas suffisant pour justifier une diminution de la responsabilité et ne constitue donc pas une circonstance à décharge. Au demeurant, il est rappelé que la consommation de drogue est une infraction en soi.</w:t>
      </w:r>
    </w:p>
    <w:p>
      <w:r>
        <w:rPr>
          <w:b/>
        </w:rPr>
        <w:t>E. 5.3</w:t>
      </w:r>
    </w:p>
    <w:p>
      <w:r>
        <w:t>Au vu de l’ensemble des éléments qui précèdent, la quotité de la peine infligée par les premiers juges est justifiée et doit être confirmée. La détention subie depuis le jugement de première instance devra en être déduite. Mal fondé, le grief de l’appelant doit être rejeté.</w:t>
      </w:r>
    </w:p>
    <w:p>
      <w:r>
        <w:rPr>
          <w:b/>
        </w:rPr>
        <w:t>E. 6</w:t>
      </w:r>
    </w:p>
    <w:p>
      <w:r>
        <w:t>L’appelant estime que la question du sursis n’a pas été examinée correctement. Or, aucun élément ne permettrait d’affirmer qu’il n’a pas compris les règles à observer et qu’il récidiverait s’il était libéré. Par ailleurs, il relève que les sanctions disciplinaires prononcées en détention ne doivent pas être prise en considération.</w:t>
      </w:r>
    </w:p>
    <w:p>
      <w:r>
        <w:rPr>
          <w:b/>
        </w:rPr>
        <w:t>E. 6.1</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CP prévoit que le juge peut suspendre partiellement l’exécution d’une peine pécuniaire, d’un travail d’intérêt général ou d’une peine pécuniaire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 De jurisprudence constante, les conditions subjectives auxquelles l'art. 42 CP soumet l'octroi du sursis intégral s'appliquent également à l'octroi du sursis partiel prévu à l’art. 43 CP (ATF 134 IV 1 c. 5.3.1; cf. aussi TF 6B_664/2007 du 18 janvier 2008 c. 3.2.1; TF 6B_353/2008 du 30 mai 2008 c. 2.3).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(ATF 134 IV 1 c. 4.2.1).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(TF 6B_492/2008 précité c. 3.1.2; ATF 134 IV 1 c. 4.2.2).</w:t>
      </w:r>
    </w:p>
    <w:p>
      <w:r>
        <w:rPr>
          <w:b/>
        </w:rPr>
        <w:t>E. 6.2</w:t>
      </w:r>
    </w:p>
    <w:p>
      <w:r>
        <w:t>Au vu de la quotité de la peine retenue (cf. supra c. 5.3), seul le sursis partiel est envisageable. En l’occurrence, il est vrai que le casier judiciaire du prévenu est vierge. Cela étant, il a récidivé en cours d’enquête alors qu’il avait été interpellé plusieurs fois par la police. Il a ainsi refusé de tenir compte des «avertissements sans frais » qu’il recevait. Jusqu’aux débats, malgré presque un an de détention avant jugement, il a persisté à rejeter la responsabilité de son comportement sur la société. Par ailleurs, il s’est mal comporté en prison et cette attitude, et non les sanctions disciplinaires qui en découlent, doit être prise en considération comme un indice de sa mentalité. De surcroît, il n’a pas de projet de vie précis pour sa sortie, en particulier au niveau professionnel, si ce n’est d’aller en Italie. Il est donc sérieusement à craindre que l’appelant se comporte à nouveau mal dès sa libération et rien ne permet de penser que l’exécution d’une partie de la peine aura un effet dissuasif sur l’intéressé. Mal fondé, le grief de l’appelant doit également être rejeté.</w:t>
      </w:r>
    </w:p>
    <w:p>
      <w:r>
        <w:rPr>
          <w:b/>
        </w:rPr>
        <w:t>E. 7</w:t>
      </w:r>
    </w:p>
    <w:p>
      <w:r>
        <w:t>En définitive, l’appel formé par C.P.________ est rejeté et le jugement rendu le 29 avril 2013 par le Tribunal correctionnel de l’arrondissement de Lausanne confirmé dans son intégralité. Vu l'issue de la cause, les frais de la procédure d'appel, comprenant l’émolument de 2’350 fr., ainsi que l’indemnité allouée au défenseur d’office de l’appelant, par 1'339 fr. 20, TVA et débours compris, sont mis à la charge de C.P.________ (art. 428 al. 1 CPP). L’appelant ne sera tenu de rembourser à l’Etat le montant de l’indemnité en faveur de son défenseur d’office que lorsque sa situation financière le permettra (art. 135 al. 4 let. a CPP). La Cour d’appel pénale appliquant les art. 40, 47, 49, 50, 51, 69, 106, 126 al. 1, 139 ch. 1, 2 et 3 al. 2, 140 ch. 1 al. 1 et ch. 3, 22 ad 140 ch. 1 al. 1 et ch. 3, 144 al. 1, 22 ad 186, 285 ch. 1 CP, 19a ch. 1 LStup et 398 ss CPP, prononce : I. L’appel est rejeté. II. Le jugement rendu le 29 avril 2013 par le Tribunal correctionnel de l’arrondissement de Lausanne est confirmé selon le dispositif suivant : " I. Inchangé; II. Constate que C.P.________ s’est rendu coupable de voies de fait, vol en bande et par métier, brigandage en bande, tentative de brigandage qualifié, dommages à la propriété, tentative de violation de domicile, violence ou menace contre les autorités et les fonctionnaires et contravention à la Loi fédérale sur les stupéfiants; III. Inchangé; IV. Condamne C.P.________ à une peine privative de liberté de 3 ans sous déduction de 311 jours de détention avant jugement et à une amende de 400 fr., la peine privative de liberté en cas de non paiement fautif étant de 8 jours; V. Inchangé; VI. Ordonne le maintien en détention de C.P.________ pour des motifs de sûreté et pour garantir l’exécution de la peine; VII. Homologue pour valoir jugement la reconnaissance de dettes de 2'000 fr. souscrite par B.P.________ et C.P.________ en faveur de C.________; VIII. Ordonne la confiscation et la destruction des objets séquestrés sous fiches nos 526, 3702, 524 (anciennement 53233) en mains de C.P.________ et un courrier adressé à B.P.________ et à C.P.________ en cours de détention; IX. Inchangé; X. Fixe à 6'998 fr. 40, débours et TVA compris, le montant de l’indemnité du défenseur d’office de C.P.________, Me Dominique d'Eggis; XI. Dit que le remboursement à l’Etat des indemnités allouées aux chiffres IX et X ci-dessus et comprises dans le total des frais ne sera exigible de B.P.________ et C.P.________ que pour autant que leurs situations financières le permettent; XII. Met les frais de justice, par 20'106 fr. 15, à la charge de B.P.________ et par 16'146 fr. 55 à la charge de C.P.________, et laisse le solde à la charge de l’Etat." III. La détention subie depuis le jugement de première instance est déduite. IV. Le maintien en détention de C.P.________ à titre de sûreté est ordonné. V. Une indemnité de défenseur d'office pour la procédure d'appel d'un montant de 1'339 fr. 20 (mille trois cent trente-neuf francs et vingt centimes ) est allouée à Me Dominique d'Eggis. VI. Les frais d'appel, par 3’689 fr. 20 (trois mille six cent huitante-neuf francs et vingt centimes), y compris l'indemnité allouée au défenseur d'office, par 1'339 fr. 20 (mille trois cent trente-neuf francs et vingt centimes ) , sont mis à la charge de C.P.________. VII. C.P.________ ne sera tenu de rembourser à l’Etat le montant de l’indemnité en faveur de son défenseur d’office prévue au chiffre V ci-dessus que lorsque sa situation financière le permettra . La présidente :              La greffière : Du 22 août 2013 Le dispositif du jugement qui précède est communiqué à l’appelant et aux autres intéressés. La greffière : Du Le jugement qui précède, dont la rédaction a été approuvée à huis clos, est notifié, par l'envoi d'une copie complète, à : - Me Dominique d'Eggis, avocat (pour C.P.________), - Ministère public central, et communiqué à : - M. le Président du Tribunal correctionnel de l'arrondissement de Lausanne, - Mme la Procureure de l’arrondissement de l’Est vaudois, - Office d'exécution des peines, - Prison du Bois-Mermet, - Service de la population, secteur A ( [...]), - Office fédéral de la police,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