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201 vom 14. Mai 2013</w:t>
      </w:r>
    </w:p>
    <w:p>
      <w:r>
        <w:t>VD Tribunal cantonal, 2013-05-14, FR</w:t>
      </w:r>
    </w:p>
    <w:p>
      <w:r>
        <w:rPr>
          <w:b/>
        </w:rPr>
        <w:t xml:space="preserve">Quelle: </w:t>
      </w:r>
      <w:r>
        <w:t>https://mcp.opencaselaw.ch/entscheid/vd_findinfo_Jug___2013___201</w:t>
      </w:r>
    </w:p>
    <w:p>
      <w:r>
        <w:t>FR: VD_FINDINFO Jug / 2013 / 201 du 14 mai 2013</w:t>
      </w:r>
    </w:p>
    <w:p>
      <w:r>
        <w:t>IT: VD_FINDINFO Jug / 2013 / 201 del 14 maggio 2013</w:t>
      </w:r>
    </w:p>
    <w:p>
      <w:pPr>
        <w:pStyle w:val="Heading2"/>
      </w:pPr>
      <w:r>
        <w:t>Regeste</w:t>
      </w:r>
    </w:p>
    <w:p>
      <w:r>
        <w:t>APPRÉCIATION DES PREUVES, ARBITRAIRE DANS L'APPLICATION DU DROIT, JUGE UNIQUE, CONTRAVENTION, DÉPASSEMENT{CIRCULATION}, DISTANCE ENTRE VÉHICULES, ACCIDENT DE LA CIRCULATION | 34 al. 3 LCR, 34 al. 4 LCR, 12 al. 1 OCR, 10 CPP (CH), 398 al. 4 CPP (CH)</w:t>
      </w:r>
    </w:p>
    <w:p>
      <w:pPr>
        <w:pStyle w:val="Heading2"/>
      </w:pPr>
      <w:r>
        <w:t>Erwägungen</w:t>
      </w:r>
    </w:p>
    <w:p>
      <w:r>
        <w:rPr>
          <w:b/>
        </w:rPr>
        <w:t>E. 1</w:t>
      </w:r>
    </w:p>
    <w:p>
      <w:r>
        <w:t>let. c CPP) et la cause est de la compétence d'un membre de la cour d'appel statuant comme juge unique (art. 14 al. 3 LVCPP [Loi d'introduction du Code de procédure pénale suisse du 19 mai 2009, RSV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rPr>
          <w:b/>
        </w:rPr>
        <w:t>E. 3</w:t>
      </w:r>
    </w:p>
    <w:p>
      <w:r>
        <w:t>B.J.________ conteste les faits retenus par le tribunal et invoque une appréciation arbitraire des preuves. Il reproche au premier juge de s’être fondé sur ses premières déclarations sans prendre en considération les modifications demandées lorsqu’il avait pris connaissance de sa déposition, d’avoir refusé de retenir le témoignage de C.J.________, de n’avoir pas tenu compte de la trace de contact visible sur la photo du véhicule accidenté d’A.________ (P. 11), trace qui, selon lui, prouverait que ce dernier a accéléré au moment du dépassement, causant ainsi l’accident, et d’avoir privilégié la version des faits fournie par A.________.</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3.2</w:t>
      </w:r>
    </w:p>
    <w:p>
      <w:r>
        <w:t>En l’espèce, le tribunal a retenu que B.J.________ avait eu une conduite dangereuse en circulant à une distance insuffisante pour circuler en file et en procédant au dépassement du véhicule d’A.________ dans un virage sans visibilité et qu’il avait manqué de prudence en heurtant l’autre voiture au moment où il s’était rabattu. Il a également considéré qu’A.________, dans une portion précédente de la route, avait eu une conduite dangereuse et qu’il avait été sanctionnée par une ordonnance pénale. On ne saurait considérer que le premier juge a fait preuve d’arbitraire dans l’appréciation des preuves. Il a au contraire examiné en détail les versions des faits contradictoires des deux conducteurs et a expliqué pourquoi il privilégiait leurs premières déclarations, retranscrites par la police. Contrairement à ce que soutient l’appelant (appel, p. 5), les apparentes contradictions d’A.________ sur la vitesse à laquelle il roulait au moment du dépassement litigieux – ce dernier ayant d’abord affirmé avoir freiné dans le virage (pièce 4, dossier préfectoral, rapport de police du 2 octobre 2012, p. 4; PV aud. du 10 décembre 2012), avant de dire le contraire devant le tribunal (jugt, p. 6) – n’ont pas échappé au premier juge, qui a résumé les déclarations en cause en page 12 de sa décision. De toute manière, cette contradiction, qui n’enlève rien au constat que B.J.________ a dépassé A.________ et l’a heurté au moment où il s’est rabattu, n’est pas déterminante, puisque le tribunal a admis qu’A.________ avait freiné au moment d’aborder la courbe et qu’il n’a pas été retenu que B.J.________ avait effectué le dépassement à une vitesse inadaptée, comme l’a laissé entendre A.________ devant le tribunal. Ainsi, on se réfèrera intégralement sur ce point à l’appréciation du premier juge, qui est claire et convaincante. L’appelant, qui demande la modification de ses déclarations rapportées par la gendarmerie, perd de vue qu’il a contresigné sa déposition et qu’ainsi, contrairement à ce qu’il affirme (appel, p. 3 in fine ), il n’a pas demandé leur modification "immédiatement", soit dès qu’il en a eu connaissance, mais plus de deux mois après, par courrier de son avocat qu’il venait de consulter (pièce 4, dossier préfectoral, lettre de Me Henri Bercher du 6 novembre 2012). En outre, l’interprétation subséquente donnée par B.J.________ concernant les expressions "j’ai été surpris" et "afin de l’éviter" n’est pas convaincante ( ibidem ). En effet, de l’avis du premier juge, auquel il convient de se rallier, les explications données par B.J.________ sur la peur qu’il aurait ressentie en raison du comportement routier d’A.________ "n’enlèvent rien à la dangerosité de sa conduite" et, comme l’a relevé à juste titre le tribunal, "on ne voit pas en quoi le dépassement était la seule façon d’échapper" à A.________ (jugt, p. 13). Ensuite, B.J.________ exagère lorsqu’il prétend, par courrier de son conseil du 6 novembre 2012, que le véhicule d’A.________ était "pratiquement arrêté" au milieu du virage, puisqu’il ressort de ses propres déclarations – tant devant le Préfet que devant le tribunal – qu’A.________ roulait "lentement" (PV aud. du 10 décembre 2012; jugt, p. 3), ce qui n’est pas surprenant en soi, vu la configuration des lieux, la police parlant d’une "courbe prononcée" et l’appelant lui-même d’une "épingle" (rapport de police précité, pp. 3 et 4; cf. ég. pièce 1 [extrait de "Google Map"] du bordereau du 10 décembre 2012 produit par Me Bercher à l’audience préfectorale). On relèvera du reste une contradiction à cet égard dans les propos tenus par l’appelant, qui a d’abord affirmé qu’A.________ avait "planté" sur les freins (rapport de police précité, p. 4), avant de préciser qu’il "suppos[ai]t" qu’il allait le faire et qu’il avait donc pris l’initiative de le dépasser (PV aud. du 10 décembre 2012). Les explications fournies sur ce point par B.J.________ lors de son audition par le Préfet, selon lesquelles il craignait que l’autre automobiliste s’arrête dans le virage et sorte de son véhicule pour s’en prendre physiquement à lui et à sa femme, sont peu crédibles. Enfin, les versions que les parties ont données à la police concordent quant à l’endroit où A.________ a freiné, soit "dans le virage", et non à la sortie de celui-ci, comme l’appelant l’a ensuite prétendu devant le Préfet. Quant à savoir où le dépassement a été effectué, on comprend des déclarations d’A.________ et de B.J.________ devant le Préfet que la manœuvre se situe à l’intérieur du tournant, soit, selon A.________, "dans la deuxième partie du virage", ce qui est confirmé par B.J.________ qui a admis avoir pris "l’initiative" du dépassement "entre le point 7 et 7a" du plan (Google Map) figurant au dossier (pièce 1 du bordereau du 10 décembre 2012). B.J.________ affirme encore que la photographie du véhicule accidenté d’A.________ établit que lors du choc, les deux véhicules roulaient à la même vitesse. Il soutient que le conducteur A.________ a accéléré alors qu’il était l’objet d’un dépassement, ce qui serait la cause unique du contact entre les deux voitures. On s’étonne qu’entendus par la police, ni l’appelant ni son épouse n’aient immédiatement dénoncé ce comportement dangereux. En outre, lors de son audition par le préfet, l’appelant n’a pas prétendu qu’A.________ avait accéléré, mais a uniquement affirmé : "je ne m’explique pas comment il se fait que lorsque je le dépasse il est pratiquement à l’arrêt et que nous nous sommes touchés en me rabattant". Puis, à l’audience de jugement, il a encore précisé qu’au moment où il s’est rabattu, il était "convaincu qu’il avait largement la place de le faire", admettant implicitement que tel n’avait finalement pas été le cas. En outre, le fait que la photographie du véhicule d’A.________ révèle une marque de contact et non un frottement ne permet pas de retenir que ce conducteur a volontairement cherché à provoquer un accident en lançant sa voiture contre celle de l’appelant. S’agissant ensuite des faits qui ont précédé cette touchette, l’appelant perd de vue qu’A.________ a été condamné pour sa conduite dangereuse. Il impute la distance insuffisante qui lui a été reprochée à des freinages intempestifs et sans nécessité du véhicule qu’il suivait. Toutefois, les explications du conducteur A.________ sur la forme ou l’animal qu’il a cru voir sont vraisemblables et ses imprécisions à cet égard n’entachent pas la crédibilité de ses déclarations. B.J.________ reproche encore au premier juge de n’avoir pas tenu compte du témoignage de C.J.________. Outre le fait, comme l’a retenu le tribunal, qu’il faut prendre la déposition de ce témoin avec retenue en raison de son lien conjugal avec l’appelant, ses déclarations contredisent celles de ce dernier quant à l’endroit où le dépassement a eu lieu, le témoin situant cette manœuvre "au point 7b" du plan (jugt, p. 4). Enfin, on comprend mal pour quel motif l’appelant, s’il a vraiment cru à un "conducteur fou" au volant d’un véhicule beaucoup plus puissant que le sien, a voulu lui échapper en le dépassant, puis en restant derrière lui, puis encore en le devançant dans un virage, sur une route de montagne, alors qu’il lui suffisait de s’arrêter pour le laisser prendre de la distance. Partant, au vu des éléments qui précèdent, il est parfaitement soutenable de retenir (jugt, p. 13) que B.J.________ a circulé à une distance insuffisante pour circuler en file et a procédé au dépassement du véhicule d’A.________ dans un virage sans visibilité, heurtant, au moment où il s’est rabattu, la voiture devancée. L'appréciation du tribunal n’est donc pas arbitraire au sens indiqué ci-dessus (c. 3.1). Le moyen, mal fondé, doit dès lors être rejeté.</w:t>
      </w:r>
    </w:p>
    <w:p>
      <w:r>
        <w:rPr>
          <w:b/>
        </w:rPr>
        <w:t>E. 4</w:t>
      </w:r>
    </w:p>
    <w:p>
      <w:r>
        <w:t>L’appelant fait valoir que les infractions des art. 34 al. 3 et 4 LCR (Loi fédérale sur la circulation routière du 19 décembre 1958; RS 741.01) et 12 al. 1 OCR (Ordonnance sur les règles de la circulation routière du 13 novembre 1962; RS 741.11) ne sont pas réalisées.</w:t>
      </w:r>
    </w:p>
    <w:p>
      <w:r>
        <w:rPr>
          <w:b/>
        </w:rPr>
        <w:t>E. 4.1</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(ATF 131 IV 133 c. 3; Weissenberger, Kommentar zum Strassenverkehrsgesetz, n. 51 ss ad art. 34 LCR).</w:t>
      </w:r>
    </w:p>
    <w:p>
      <w:r>
        <w:rPr>
          <w:b/>
        </w:rPr>
        <w:t>E. 4.2</w:t>
      </w:r>
    </w:p>
    <w:p>
      <w:r>
        <w:t>En l’espèce, B.J.________ a dû à plusieurs reprises freiner brusquement. Selon la jurisprudence, c’est au conducteur du véhicule qui suit de régler l’intervalle par rapport au véhicule qui précède, de manière à éviter une collision avec ce véhicule ou d’être obligé de se placer en position de dépassement comportant un risque pour les véhicules en sens inverse, comme cela a été le cas en l’occurrence. Par ailleurs, si l’espace à l’origine suffisant diminue parce que le véhicule qui précède ralentit, c’est au conducteur de la voiture qui suit à veiller au rétablissement de la distance suffisante (ATF 137 IV 326 c. 3.3.3 et les références citées, not. ATF 81 IV 47, JT 1955 I 418; ég. ATF 115 IV 248). Or, on ne saurait retenir que les décélérations brusques du véhicule de l’appelant étaient toutes liées à des freinages inutiles du conducteur A.________. Le prévenu n’a ainsi pas respecté une distance minimale suffisante avec ce conducteur. En outre, il ressort des déclarations des deux automobilistes (cf. c. 3.2, p. 7 in fine, supra ) que le prévenu a effectué le second dépassement dans un virage, manquant ainsi de prudence et d’égards envers les véhicules qui étaient susceptibles de venir en sens inverse, étant précisé sur ce point que, selon la jurisprudence, la manœuvre de dépassement est entreprise lorsque, dans l’intention de devancer un autre usager, le dépasseur déboîte et commence à le rattraper, au point qu’il devrait ralentir son allure s’il devait reprendre sa droite en respectant une distance suffisante derrière le dépassé (ATF 101 IV 72 c. 1a, JT 1975 I 433). Enfin, en touchant le véhicule qu’il dépassait au moment où il s’est rabattu, le prévenu n’a à l’évidence pas respecté une distance suffisante et a manqué de prudence. C’est donc à bon droit que le premier a retenu les contraventions aux art. 34 al. 3 et 4 LCR et 12 al. 1 OCR.</w:t>
      </w:r>
    </w:p>
    <w:p>
      <w:r>
        <w:rPr>
          <w:b/>
        </w:rPr>
        <w:t>E. 5</w:t>
      </w:r>
    </w:p>
    <w:p>
      <w:r>
        <w:t>L’amende de 350 fr. et la peine privative de liberté de substitution de quatre jours, correspondant aux montants arrêtés par l’autorité préfectorale dans son ordonnance du 4 janvier 2013, doivent être confirmés. Cette sanction apparaît modérée, compte tenu de la fourchette de la peine prévue à l’art. 106 CP, auquel renvoie l’art. 90 ch. 1 LCR. Par ailleurs, la faute commise par B.J.________ est prépondérante, ce qui justifie une peine d’amende plus élevée que celle infligée à A.________.</w:t>
      </w:r>
    </w:p>
    <w:p>
      <w:r>
        <w:rPr>
          <w:b/>
        </w:rPr>
        <w:t>E. 6</w:t>
      </w:r>
    </w:p>
    <w:p>
      <w:r>
        <w:t>En conclusion, l'appel doit être rejeté et le jugement attaqué intégralement confirmé. Vu l'issue de la cause, les frais d'appel doivent être mis à la charge de B.J.________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