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 vom 10. September 2012</w:t>
      </w:r>
    </w:p>
    <w:p>
      <w:r>
        <w:t>VD Tribunal cantonal, 2012-09-10, FR</w:t>
      </w:r>
    </w:p>
    <w:p>
      <w:r>
        <w:rPr>
          <w:b/>
        </w:rPr>
        <w:t xml:space="preserve">Quelle: </w:t>
      </w:r>
      <w:r>
        <w:t>https://mcp.opencaselaw.ch/entscheid/vd_findinfo_Jug___2013___2</w:t>
      </w:r>
    </w:p>
    <w:p>
      <w:r>
        <w:t>FR: VD_FINDINFO Jug / 2013 / 2 du 10 septembre 2012</w:t>
      </w:r>
    </w:p>
    <w:p>
      <w:r>
        <w:t>IT: VD_FINDINFO Jug / 2013 / 2 del 10 settembre 2012</w:t>
      </w:r>
    </w:p>
    <w:p>
      <w:pPr>
        <w:pStyle w:val="Heading2"/>
      </w:pPr>
      <w:r>
        <w:t>Regeste</w:t>
      </w:r>
    </w:p>
    <w:p>
      <w:r>
        <w:t>SURSIS PARTIEL À L'EXÉCUTION DE LA PEINE, SURSIS À L'EXÉCUTION DE LA PEINE, FIXATION DE LA PEINE | 42 al. 1 CP, 47 CP</w:t>
      </w:r>
    </w:p>
    <w:p>
      <w:pPr>
        <w:pStyle w:val="Heading2"/>
      </w:pPr>
      <w:r>
        <w:t>Erwägungen</w:t>
      </w:r>
    </w:p>
    <w:p>
      <w:r>
        <w:rPr>
          <w:b/>
        </w:rPr>
        <w:t>E. 1</w:t>
      </w:r>
    </w:p>
    <w:p>
      <w:r>
        <w:t>Interjeté dans les formes et délai légaux (art. 399 CPP) contre le jugement d’un tribunal de première instance ayant clos la procédure (art. 398 al. 1 CPP), l'appel est recevable.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Invoquant une violation du droit matériel, soit des art. 42 al. 1 et 47 CP, et l'inopportunité de la décision, l'appelant fait valoir que la peine est excessive dans sa quotité et qu'elle doit être assortie d'un sursis ordinaire, soit complet et non seulement partiel. Les faits incriminés ne sont pas contestés, pas plus que ne l'est la qualification des infractions. D'office, il doit être relevé que les faits en cause sont bien chacun constitutifs de brigandage au sens de l'art. 140 ch. 1 CP.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 5.6 p. 61; ATF 134 IV 17 c. 2.1 p. 19 s.; ATF 129 IV 6 c. 6.1, p. 21 et les références citées).</w:t>
      </w:r>
    </w:p>
    <w:p>
      <w:r>
        <w:rPr>
          <w:b/>
        </w:rPr>
        <w:t>E. 4.3</w:t>
      </w:r>
    </w:p>
    <w:p>
      <w:r>
        <w:t>L'appelant fait grief au tribunal de police d'avoir retenu, à charge, des mobiles procédant uniquement de ses déclarations confuses et contradictoires au sujet de ses actes. Contrairement à ce que fait valoir le prévenu, le jugement énonce avec précision les explications en question. Procédant à l'appréciation de la culpabilité, le tribunal de police les a qualifiées d'inexplicables, vu la futilité des mobiles avancés. Le premier juge n'a donc pas renoncé à toute explication des mobiles des infractions. Il a retenu à charge ceux qui lui avaient été présentés, respectivement dont il considérait qu'ils avaient été fournis aux experts. Le prévenu a avoué avoir agi car il était dans un état d'énervement pour des raisons d'ordre professionnel. En revanche, il a nié le fait, retenu par les experts, qu'il avait agi par antipathie pour ses victimes au seul motif qu'elles étaient tenues pour riches. S'il devait être admis qu'un malentendu ait pu survenir avec les experts, les mobiles avoués par ailleurs n'en sont pas moins si futiles qu'ils ne peuvent être imputés qu'à charge sous l'angle de l'art. 47 CP, même si le dessein d'enrichissement ne semble pas prépondérant. L'appelant fait aussi valoir que le jugement omet le trouble mental dont il souffre. A tort. En effet, le tribunal de police a repris les passages essentiels de l'expertise psychiatrique et, se fondant sur l'avis des experts, a retenu, en fait, le trouble mental en question, pour ajouter, en droit, que cette affection n'entamait pas le discernement du prévenu. Pour le reste, l'appelant n'invoque pas une violation de l'art. 19 CP, étant précisé que les experts ont, notamment dans leur rapport complémentaire, expressément nié toute diminution de sa responsabilité. A noter en outre, toujours à charge, que le prévenu a agi selon le même mode opératoire, furtivement, dans des endroits isolés et à une reprise au moment de la tombée de la nuit, au préjudice de jeunes filles non accompagnées et qui n'étaient guère en mesure de lui opposer de résistance. Qui plus est, la violence physique dont l'auteur a fait preuve pour dépouiller ses victimes est incontestable. Ce mode opératoire ajoute la lâcheté à la dangerosité. On ne peut qu'être inquiet de la facilité et de la détermination avec lesquelles il est passé à l'acte. Il a ainsi manifesté une énergie délictueuse significative. Enfin, il n'a eu aucun mot de regret à l'égard de ses victimes, dénotant ainsi une absence de prise de conscience de la gravité de ses actes. D'office, il doit néanmoins aussi être mentionné que la situation du prévenu n'est pas des plus favorables. Certes, il a été élevé au sein d'une famille unie, comme cela ressort notamment du témoignage de sa mère à l'audience de première instance. Il n'en reste cependant pas moins que son entrée dans la vie active s'est avérée difficile; le jeune homme était en particulier dans une situation sociale et professionnelle précaire lors des faits incriminés, ce dont le premier juge a tenu compte à bon droit en sa faveur. Tout bien pesé, c'est ainsi une peine de douze mois qui est adéquate pour réprimer les actes incriminés. Le genre de la sanction n'est pas contesté, vu les conclusions de la déclaration d’appel portant expressément sur une peine privative de liberté.</w:t>
      </w:r>
    </w:p>
    <w:p>
      <w:r>
        <w:rPr>
          <w:b/>
        </w:rPr>
        <w:t>E. 5.1</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rPr>
          <w:b/>
        </w:rPr>
        <w:t>E. 5.2</w:t>
      </w:r>
    </w:p>
    <w:p>
      <w:r>
        <w:t>De jurisprudence constante, les conditions subjectives auxquelles l'art. 42 CP soumet l'octroi du sursis intégral s'appliquent également à l'octroi du sursis partiel prévu à l’art. 43 CP (ATF 134 IV 1 c. 5.3.1 p. 10; cf. aussi arrêts 6B_664/2007 du 18 janvier 2008 c. 3.2.1; 6B_353/2008 du 30 mai 2008 c.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 5.3.1, p. 10). En revanche, les conditions objectives des art. 42 et 43 CP ne correspondent pas: les peines privatives de liberté jusqu'à une année ne peuvent être assorties du sursis partiel; une peine de 12 à 24 mois peut être assortie du sursis ou du sursis partiel; le sursis complet à l'exécution d'une peine privative de liberté est exclu, dès que celle-ci dépasse 24 mois alors que jusqu'à 36 mois, le sursis partiel peut être octroyé (arrêt précité, c. 5.3.2, p. 11).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TF 6B_664/2007 du 18 janvier 2008 c.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l'art. 42 al. 4 CP avec le sursis apparaît suffisante sous l'angle de la prévention spéciale. Le tribunal doit examiner préalablement cette possibilité (ATF 134 IV 1 précité c. 5.5.2, p. 14). Mais un pronostic défavorable exclut également le sursis partiel. En effet, s’il n’existe aucune perspective que l’auteur puisse être influencé de quelque manière par un sursis complet ou partiel, la peine doit être entièrement exécutée (TF 6B_353/2008 du 30 mai 2008 c. 2.2 et les réf. cit.).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 4.2.3).</w:t>
      </w:r>
    </w:p>
    <w:p>
      <w:r>
        <w:rPr>
          <w:b/>
        </w:rPr>
        <w:t>E. 5.3</w:t>
      </w:r>
    </w:p>
    <w:p>
      <w:r>
        <w:t>En l'espèce, la quotité de la peine privative de liberté entre dans le champ d'application commun des art. 42 al. 1 et 43 CP. Cette condition objective du sursis ordinaire est ainsi remplie. La question déterminante est donc celle des conditions subjectives du sursis. Il s'agit de savoir si un pronostic non défavorable peut être posé conformément à la présomption légale ou si, bien plutôt, le pronostic doit être tenu pour seulement incertain, en d'autres termes si le sursis partiel doit être commandé, sous l'angle de la prévention spéciale, par le motif que l'octroi du sursis pour une partie de la peine ne peut se concevoir que moyennant exécution de l'autre partie. Au vu de l'ensemble des circonstances, force est de constater que le pronostic doit être tenu pour incertain. L'élément déterminant est à cet égard la facilité avec laquelle le prévenu est, à deux reprises en moins de quatre mois, passé à l'acte en faisant preuve de violence physique au préjudice de victimes sans défense. Une telle désinhibition est de mauvais pronostic de par le mépris pour la sécurité et la propriété d'autrui qu'elle dénote. Les experts mentionnent du reste un risque de réitération. Un pronostic non défavorable ne peut donc être posé. Partant, le sursis ordinaire doit céder le pas au sursis partiel. Quant à la part de la peine à exécuter, les éléments en faveur et en défaveur du prévenu pour ce qui est du pronostic à poser étant de même poids, le sursis doit porter sur la moitié de la peine conformément au maximum prévu par l'art. 43 al. 2 CP et retenu par le premier juge, une peine ferme de six mois apparaissant nécessaire pour détourner l'auteur d'autres crimes ou délits. La durée du délai d'épreuve n'est au surplus pas contestée séparément.</w:t>
      </w:r>
    </w:p>
    <w:p>
      <w:r>
        <w:rPr>
          <w:b/>
        </w:rPr>
        <w:t>E. 6</w:t>
      </w:r>
    </w:p>
    <w:p>
      <w:r>
        <w:t>Vu l'issue de la cause, les frais d'arrêt selon l'art. 424 CPP doivent être mis à la charge de l’appelant, qui succombe entièrement (art. 428 al. 1, 1 ère phrase, CPP). Outre l'émolument, ces frais comprennent l’indemnité d’office allouée à son défenseur pour les opérations liées à la procédure d'appel (cf. les art. 135 al. 2 et 422 al. 2 let. a CPP; art. 2 al. 2 ch. 1 TFJP). Vu l'ampleur et la complexité de la cause en appel, l'indemnité allouée au défenseur d'office de l'appelant doit, sur la base de la liste d'opérations produite, être fixée sur la base d'une durée d'activité de sept heures et demie, à 180 fr. l'heure, ainsi que de 21 fr. 30 de débours dûment étayés, TVA en sus (art. 135 al. 1 CPP). Le prévenu ne sera tenu de rembourser à l’Etat le montant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