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194 vom 16. Mai 2013</w:t>
      </w:r>
    </w:p>
    <w:p>
      <w:r>
        <w:t>VD Tribunal cantonal, 2013-05-16, FR</w:t>
      </w:r>
    </w:p>
    <w:p>
      <w:r>
        <w:rPr>
          <w:b/>
        </w:rPr>
        <w:t xml:space="preserve">Quelle: </w:t>
      </w:r>
      <w:r>
        <w:t>https://mcp.opencaselaw.ch/entscheid/vd_findinfo_Jug___2013___194</w:t>
      </w:r>
    </w:p>
    <w:p>
      <w:r>
        <w:t>FR: VD_FINDINFO Jug / 2013 / 194 du 16 mai 2013</w:t>
      </w:r>
    </w:p>
    <w:p>
      <w:r>
        <w:t>IT: VD_FINDINFO Jug / 2013 / 194 del 16 maggio 2013</w:t>
      </w:r>
    </w:p>
    <w:p>
      <w:pPr>
        <w:pStyle w:val="Heading2"/>
      </w:pPr>
      <w:r>
        <w:t>Regeste</w:t>
      </w:r>
    </w:p>
    <w:p>
      <w:r>
        <w:t>EXCÈS DE VITESSE, PEINE PÉCUNIAIRE, AMENDE, SURSIS À L'EXÉCUTION DE LA PEINE, FIXATION DE LA PEINE | 106 CP, 34 CP, 42 CP, 44 CP, 47 CP, 50 CP, 90 ch. 2 LCR</w:t>
      </w:r>
    </w:p>
    <w:p>
      <w:pPr>
        <w:pStyle w:val="Heading2"/>
      </w:pPr>
      <w:r>
        <w:t>Erwägungen</w:t>
      </w:r>
    </w:p>
    <w:p>
      <w:r>
        <w:rPr>
          <w:b/>
        </w:rPr>
        <w:t>E. 1.1</w:t>
      </w:r>
    </w:p>
    <w:p>
      <w:r>
        <w:t>Aux termes de l’art. 398 CPP (Code de procédure pénale suisse du 5 octobre 2007, RS 312.0),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déclaration d’appel de B.N.________ a été déposée en temps utile (art. 399 al. 1 et 3 CPP) contre une décision rendue par une autorité de première instance qui a clos la procédure au sens de l'art. 398 al. 1 CPP. Elle est donc recevable et il y a lieu d'entrer en matière.</w:t>
      </w:r>
    </w:p>
    <w:p>
      <w:r>
        <w:rPr>
          <w:b/>
        </w:rPr>
        <w:t>E. 1.2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L'excès de vitesse n'est plus contesté par l'appelant. L'intéressé soutient en revanche, sur la base de plans d'époque qu'il produit, qu'une limitation de vitesse à 80 km/h n'était pas justifiée sur le tronçon où il a été flashé. Au vu du temps sec et clair et de la faible densité du trafic, son cas était semblable à celui analysé par la Haute Cour dans l'arrêt TF 6B_622/2009 du 23 octobre 2009, et l'hypothèse d'une violation grave des règles de la circulation routière devait être écartée, faute de mise en danger concrète ou abstraite. Dans ces circonstances, seule la limitation générale était applicable et il fallait se placer, pour évaluer le degré de gravité de l'infraction commise, comme si la limite avait été correctement fixée à 120 km/h, voire à 100 km/h à proximité de l'échangeur. Le dépassement n'était alors que de 16 km/h au plus, ce qui, selon les normes topiques applicables, justifiait une amende de 180 francs.</w:t>
      </w:r>
    </w:p>
    <w:p>
      <w:r>
        <w:rPr>
          <w:b/>
        </w:rPr>
        <w:t>E. 2.2</w:t>
      </w:r>
    </w:p>
    <w:p>
      <w:r>
        <w:t>Selon la jurisprudence, l’infraction réprimée par l’art. 90 ch. 2 LCR (loi fédérale sur la circulation routière du 19 décembre 1958; RS 741.01), est objectivement réalisée lorsque l’auteur viole grossièrement une règle fondamentale de la circulation et met ainsi sérieusement en danger la sécurité d’autrui, une mise en danger abstraite accrue étant à cet égard suffisante. Subjectivement,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La qualification de cas grave au sens de l’art. 90 ch. 2 LCR correspond à celle de l’art. 16 al. 3 let. a aLCR, respectivement à celle de l’art. 16 al. 3 let. a aLCR (TF 6B_282/2009 du 14 décembre 2009 et les arrêts cités). Dans le domaine des excès de vitesse, la jurisprudence, afin d’assurer l’égalité de traitement, a été amenée à fixer des règles précises. Ainsi, lorsque, comme en l’espèce, l’excès de vitesse a été commis hors localité, le cas est objectivement grave, c’est-à-dire sans égard aux circonstances concrètes, si la vitesse maximale autorisée, en l’occurrence 80km/h, est dépassée de 30 km/h ou plus (ATF 124 II 259 c. 2c p. 263) Même en deçà de cette limite, voire si le conducteur a circulé à une vitesse égale ou même inférieure à celle autorisée sur le tronçon litigieux, le cas peut néanmoins être objectivement grave pour d’autres motifs, par exemple à raison d’une vitesse inadaptée aux circonstances, au sens de l’art. 32 al. 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lb 312 c. 4c p. 315/316). Il a été relevé qu’il en irait de même dans le cas de celui qui, à l’intérieur d’une localité, circulerait à 50 km/h à proximité d’un jardin d’enfants au moment où des enfants se trouvent à cet endroit (ATF 121 II 127 c. 4a p. 132). Ces principes ont encore été confirmés tels quels dans un récent arrêt TF 6B_50/2013 du 4 avril 2013 c. 1.3, auquel il peut être renvoyé. Les arrêts cités ci-dessus concernaient la circulation sur route principale hors localité. Sur l'autoroute la limite du cas grave est fixée à un dépassement de 35 km/h (TF 6B_264/2007 du 19 septembre 2007 c. 3.1, et les références citées). Les mêmes règles jurisprudentielles sont applicables.</w:t>
      </w:r>
    </w:p>
    <w:p>
      <w:r>
        <w:rPr>
          <w:b/>
        </w:rPr>
        <w:t>E. 2.3</w:t>
      </w:r>
    </w:p>
    <w:p>
      <w:r>
        <w:t>Le dépassement de vitesse de 36 km/h enregistré sur l'autoroute en la présente espèce constitue un cas objectivement grave au sens de la jurisprudence citée. Il démontre une absence de scrupule. L'argument utilisé en défense, selon lequel la limitation de vitesse à 80 km/h sur le tronçon visé n'était pas conforme à la situation concrète, n'est pas décisif. Il n'appartient en effet pas au juge de remettre en cause une limitation de vitesse, au demeurant parfaitement justifiée à l'endroit de l'infraction (cf. supra p. 8). La configuration des lieux ne peut pas davantage justifier une exception dans l’application de la jurisprudence citée, car, contrairement à ce que plaide l'appelant, la situation créée par une jonction, à 100 mètres à peine de celle-ci, est particulièrement dangereuse en raison des changements de voie qu'elle implique. La qualification de l'infraction ne prête donc pas le flanc à la critique et doit être confirmée.</w:t>
      </w:r>
    </w:p>
    <w:p>
      <w:r>
        <w:rPr>
          <w:b/>
        </w:rPr>
        <w:t>E. 3.1</w:t>
      </w:r>
    </w:p>
    <w:p>
      <w:r>
        <w:t>Les règles générales régissant la fixation de la peine ont été rappelées dans les arrêts publiés aux ATF 136 IV 55 et ATF 134 IV 17 c. 2.1 et les références citées, auxquels on peut se référer et il peut être renvoyé.</w:t>
      </w:r>
    </w:p>
    <w:p>
      <w:r>
        <w:rPr>
          <w:b/>
        </w:rPr>
        <w:t>E. 3.2</w:t>
      </w:r>
    </w:p>
    <w:p>
      <w:r>
        <w:t>En l'espèce, la peine n’est pas contestée en tant que telle. Elle est au surplus tout à fait adéquate au regard des principes découlant de l'art. 47 CP et de la culpabilité de l’appelant, d’autant plus importante que celui-ci, déjà sanctionné à plusieurs reprises pour des excès de vitesse, persiste à soutenir que sa faute serait modeste. Le raisonnement du Tribunal consistant à fixer le jour-amende en tenant compte de la fortune importante du prévenu – qui a fait le choix de ne pas travailler – est conforme au droit (TF 6B_568/2012 du 16 novembre 2012 c. 2). Ce point n'est au demeurant pas remis en cause. On relèvera que la fortune de B.N.________ est même supérieure à celle retenue par le jugement attaqué. Il est en effet notoire que la valeur vénale du bien immobilier ne peut être que supérieure d’au moins 20% au montant du prêt hypothécaire (qui se monte ici à quatre millions de francs). La fortune réelle de l’appelant n’est donc pas inférieure à la somme de 1'720'522 fr. de titres, de 2'750'000 fr. de véhicules, et de 20% de 4'000'000 fr. (800'000 fr.), ce qui représente un montant total plus proche des cinq millions que des 2'504'21 fr. retenus par le Tribunal sur la base de la déclaration fiscale de 2011 (jugement p. 5). Au vu de ces éléments, la quotité du jour-amende, fixée à 250 fr. par le premier juge, n'est pas critiquable.</w:t>
      </w:r>
    </w:p>
    <w:p>
      <w:r>
        <w:rPr>
          <w:b/>
        </w:rPr>
        <w:t>E. 4</w:t>
      </w:r>
    </w:p>
    <w:p>
      <w:r>
        <w:t>En définitive, l'appel de B.N.________, mal fondé, doit être rejeté et le jugement entrepris confirmé.</w:t>
      </w:r>
    </w:p>
    <w:p>
      <w:r>
        <w:rPr>
          <w:b/>
        </w:rPr>
        <w:t>E. 5</w:t>
      </w:r>
    </w:p>
    <w:p>
      <w:r>
        <w:t>Vu le sort de l'appel, les frais de seconde instance doivent être mis à la charge de l'appelant (art. 428 al. 1 CPP). La condamnation de B.N.________ ayant été confirmée, il convient de rejeter sa requête tendant à ce que lui soit versée une indemnité de 3'500 fr. pour ses frais de justice et d'avocat de seconde instance (art. 429 al. 1 let. a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