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181 vom 21. März 2013</w:t>
      </w:r>
    </w:p>
    <w:p>
      <w:r>
        <w:t>VD Tribunal cantonal, 2013-03-21, FR</w:t>
      </w:r>
    </w:p>
    <w:p>
      <w:r>
        <w:rPr>
          <w:b/>
        </w:rPr>
        <w:t xml:space="preserve">Quelle: </w:t>
      </w:r>
      <w:r>
        <w:t>https://mcp.opencaselaw.ch/entscheid/vd_findinfo_Jug___2013___181</w:t>
      </w:r>
    </w:p>
    <w:p>
      <w:r>
        <w:t>FR: VD_FINDINFO Jug / 2013 / 181 du 21 mars 2013</w:t>
      </w:r>
    </w:p>
    <w:p>
      <w:r>
        <w:t>IT: VD_FINDINFO Jug / 2013 / 181 del 21 marzo 2013</w:t>
      </w:r>
    </w:p>
    <w:p>
      <w:pPr>
        <w:pStyle w:val="Heading2"/>
      </w:pPr>
      <w:r>
        <w:t>Regeste</w:t>
      </w:r>
    </w:p>
    <w:p>
      <w:r>
        <w:t>COMMERCE DE STUPÉFIANTS, CONSOMMATION DE STUPÉFIANTS, PEINE, RÉVOCATION DU SURSIS, DIRECTIVE{INJONCTION}, AMENDE, DÉPENS | 40 CP, 42 CP, 44 CP, 46 CP, 47 CP, 50 CP, 51 CP, 69 CP, 19 al. 1 LStup, 19 ch. 2 LStup, 19a LStup</w:t>
      </w:r>
    </w:p>
    <w:p>
      <w:pPr>
        <w:pStyle w:val="Heading2"/>
      </w:pPr>
      <w:r>
        <w:t>Erwägungen</w:t>
      </w:r>
    </w:p>
    <w:p>
      <w:r>
        <w:rPr>
          <w:b/>
        </w:rPr>
        <w:t>E. 1</w:t>
      </w:r>
    </w:p>
    <w:p>
      <w:r>
        <w:t>Aux termes de l’art. 398 CPP (Code de procédure pénale suisse du 5 octobre 2007, RS 312.0),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déclaration d’appel du Ministère public a été déposée en temps utile (art. 399 al. 1 et 3 CPP) contre une décision rendue par une autorité de première instance, qui a clos la procédure au sens de l'art. 398 al. 1 CPP.</w:t>
      </w:r>
    </w:p>
    <w:p>
      <w:r>
        <w:rPr>
          <w:b/>
        </w:rPr>
        <w:t>E. 2</w:t>
      </w:r>
    </w:p>
    <w:p>
      <w:r>
        <w:t>L’appelant soutient que les contraventions à la LStup (Loi fédérale sur les stupéfiants et les substances psychotropes du 3 octobre 1951, RS 812.121) sont toutes prescrites.</w:t>
      </w:r>
    </w:p>
    <w:p>
      <w:r>
        <w:rPr>
          <w:b/>
        </w:rPr>
        <w:t>E. 2.1</w:t>
      </w:r>
    </w:p>
    <w:p>
      <w:r>
        <w:t>L’art. 19a al. 1 aLStup – dans sa version en vigueur jusqu'au 30 juin 2011, plus favorable à la prévenue et applicable ratione temporis , toutes les infractions à cette loi ayant été commises jusqu'au 30 juin 2011 – ne prévoyant qu’une peine d’amende, il définit une contravention au sens de l’art. 103 CP. Le délai de prescription applicable à l’action pénale est donc de trois ans, conformément à l’art. 109 CP. La nouvelle partie générale du code pénal prévoit désormais des délais de prescription absolus (ATF 134 IV 328 c. 2.1). Selon l’art. 97 al. 3 CP, la prescription ne court plus si, avant son échéance, un jugement de première instance a été rendu. Ce principe s’applique également aux contraventions par renvoi de l’art. 104 CP (ATF 135 IV 196 c. 2). Composante du droit d’être entendu découlant de l’art. 29 al. 2 Cst (Constitution fédérale de la Confédération suisse du 18 avril 1999, RS 101), le principe d’accusation implique que le prévenu sache exactement les faits qui lui sont imputés et quelles sont les peines et mesures auxquelles il s’expose afin qu’il puisse s’expliquer et préparer efficacement sa défense. Une condamnation fondée sur un état de fait différent de celui qui figure dans l’acte d’accusation, ou sur des dispositions légales différentes, viole le principe d’immutabilité du procès, donc le droit d’être entendu du prévenu, si l’acte d’accusation n’a pas été complété ou modifié d’une manière suffisante en temps utile au cours de la procédure, l’accusé en ayant été informé de façon à pouvoir présenter ses observations et organiser sa défense (ATF 126 I 19 c. 2a et c p. 21 ss). Le droit d’être entendu est une garantie constitutionnelle de nature formelle dont la violation doit en principe entraîner l’annulation de la décision attaquée, indépendamment des chances de succès du recours sur le fond (ATF 135 I 187 c. 2.2 p. 190; ATF 132 V 387 c. 5.1 p. 390).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p. 335; ATF 133 I 201 c. 2.2 p. 204). Une telle réparation dépend de la gravité et de l’étendue de l’atteinte portée au droit d’être entendu et doit rester l’exception (ATF 126 I 68 c. 2 p. 72). Elle peut également se justifier en présence d’un vice grave lorsque le renvoi constituerait une vaine formalité et aboutirait à un allongement inutile de la procédure (ATF 133 I 201 c. 2.2 p. 204). L’art. 333 al. 4 CPP prévoit que le tribunal ne peut fonder son jugement sur une accusation modifiée ou complétée que si les droits de partie du prévenu et de la partie plaignante ont été respectés. Il interrompt si nécessaire les débats à cet effet.</w:t>
      </w:r>
    </w:p>
    <w:p>
      <w:r>
        <w:rPr>
          <w:b/>
        </w:rPr>
        <w:t>E. 2.2</w:t>
      </w:r>
    </w:p>
    <w:p>
      <w:r>
        <w:t>II résulte de l’acte d’accusation qu’entre décembre 2008 et juillet 2010, D.________ a consommé mensuellement une dizaine de grammes de cocaïne, soit environ 180g. A l’audience de première instance, la prévenue a admis avoir recommencé à consommer de la cocaïne après son licenciement, en décembre 2008, avoir cessé brièvement de peur des effets secondaires, alors qu’elle prenait des antidépresseurs, puis avoir repris une consommation régulière jusqu’en juillet 2010. Sa consommation a été occasionnelle dès cette date et a cessé en mars 2011. S’écartant des faits tels qu’exposés dans l’acte d'accusation, les premiers juges ont finalement retenu que D.________ avait consommé régulièrement de la cocaïne jusqu’à son arrestation, soit jusqu’en mai 2011 et qu’elle s’est ainsi rendue coupable de contravention à l’art. 19a ch. 1 aLStup, la consommation antérieure au 21 mars 2010 étant toutefois prescrite. Les faits postérieurs au 21 mars 2010 ne sont pas prescrits, la prescription ayant été interrompue par le jugement de première instance, rendu le 21 mars 2013. Pour le reste, les premiers juges ont certes retenu une consommation plus longue que celle relevée dans l’acte d’accusation. La prévenue n’a toutefois pas déposé d’appel à ce sujet et on doit admettre que son droit d’être entendue à de toute manière été réparé par le biais de la présente procédure compte tenu du pouvoir de cognition de l’autorité de céans. De plus, la durée sur laquelle porte la contravention est en définitive sans importance au regard de la quotité de l’amende infligée.</w:t>
      </w:r>
    </w:p>
    <w:p>
      <w:r>
        <w:rPr>
          <w:b/>
        </w:rPr>
        <w:t>E. 3</w:t>
      </w:r>
    </w:p>
    <w:p>
      <w:r>
        <w:t>ans et demi de prison pour un trafic similaire. Il conteste enfin la bonne collaboration de D.________.</w:t>
      </w:r>
    </w:p>
    <w:p>
      <w:r>
        <w:rPr>
          <w:b/>
        </w:rPr>
        <w:t>E. 3.1</w:t>
      </w:r>
    </w:p>
    <w:p>
      <w:r>
        <w:t>Les règles générales régissant la fixation de la peine ont été rappelées dans les arrêts publiés aux ATF 136 IV 55 et 134 IV 17 c. 2.1, auxquels on peut se référer.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ATF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lI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p. 204; ATF 118 IV 342 c. 2d p. 349).</w:t>
      </w:r>
    </w:p>
    <w:p>
      <w:r>
        <w:rPr>
          <w:b/>
        </w:rPr>
        <w:t>E. 3.2</w:t>
      </w:r>
    </w:p>
    <w:p>
      <w:r>
        <w:t>D.________ a vendu au total 538 g de cocaïne, représentant environ 185 g de drogue pure, vu le taux de pureté habituel à l’époque du trafic (34.5 %), et 19 pilules d’ecstasy. Son trafic a ainsi porté sur une quantité de drogue importante. De plus, il s’est écoulé sur une longue période, soit entre janvier 2009 et mai 2011. Seule son arrestation a mis fin à ce trafic. D.________ a fourni plusieurs clients et avait une technique de vente bien rôdée. Elle a un antécédent judiciaire pour une infraction à la LCR et a commis les faits qui lui sont reprochés durant le délai d’épreuve qui lui était imparti. Le trafic de l’intéressée est toutefois resté limité au niveau local. Sauf rares exceptions, la prévenue consommait à son domicile avec les gens auxquels elle remettait la drogue. Ces derniers étaient soit des amis, soit des connaissances de W.________ avec laquelle D.________ avait développé des liens d’amitié, de sorte que le trafic est finalement resté limité à un cercle de personnes restreint. La prévenue a agi seule et non dans le cadre d’une structure organisée. Le but de l’intimée était de pouvoir acquérir de la cocaïne de meilleure qualité à un prix inférieur à celui proposé dans la rue, ce afin d’assouvir son propre besoin de consommation. La situation personnelle de l’intéressée au moment des faits était mauvaise. Elle venait de se faire licencier au motif qu’elle aurait détourné des fonds. Elle a ensuite très mal vécu son licenciement et les procédures pénales qui s’en sont suivies et a sombré dans une dépression profonde. Elle a repris sa consommation de cocaïne après ce licenciement, celle-ci pouvant atteindre jusqu’à 10 grammes par mois. Sa situation financière s’est rapidement péjorée. Il faut également tenir compte d’une légère diminution de responsabilité compte tenu de la dépendance aux stupéfiants au moment des faits, ainsi que des regrets exprimés par la prévenue. On retiendra enfin, à la décharge de D.________, sa collaboration en cours d’enquête qui a permis de cerner avec précision la nature et l'ampleur de son trafic. Ses propos clairs, spontanés et confirmés par d'autres déclarations, de même que les précisions apportées aux débats de première instance, ont paru crédibles et ont fondé l'état de fait retenu par les premiers juges. L'appelant n'a pas remis en cause cet état de fait, pas davantage invoqué d'autres faits qui n'auraient pas été retenus. Il n'est donc pas parvenu à démontrer la collaboration toute relative qu'il allègue. Au regard de l’ensemble de ces éléments, on peut confirmer la peine privative de liberté de deux ans infligée par les premiers juges sous déduction de la détention préventive subie. Cette sanction est certes clémente, mais ne porte pas le flanc à la critique.</w:t>
      </w:r>
    </w:p>
    <w:p>
      <w:r>
        <w:rPr>
          <w:b/>
        </w:rPr>
        <w:t>E. 4</w:t>
      </w:r>
    </w:p>
    <w:p>
      <w:r>
        <w:t>Il convient d’examiner finalement les questions du sursis et de la révocation du sursis à la précédente peine.</w:t>
      </w:r>
    </w:p>
    <w:p>
      <w:r>
        <w:rPr>
          <w:b/>
        </w:rPr>
        <w:t>E. 4.1</w:t>
      </w:r>
    </w:p>
    <w:p>
      <w:r>
        <w:t>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 5.5.2 p. 14 s.).</w:t>
      </w:r>
    </w:p>
    <w:p>
      <w:r>
        <w:rPr>
          <w:b/>
        </w:rPr>
        <w:t>E. 4.2</w:t>
      </w:r>
    </w:p>
    <w:p>
      <w:r>
        <w:t>La prévenue a cessé sa consommation depuis environ 2 ans. Elle a pris conscience des dégâts occasionnés par sa consommation de stupéfiants, suite à ses problèmes de santé. Elle a coupé les ponts avec les personnes qu’elle côtoyait durant la période considérée. Elle a des projets professionnels pour l’automne 2013, et affirme avoir trouvé un emploi à 50 %. Le seul antécédent, concernant une infraction à la LCR, est insuffisant pour douter sérieusement des perspectives d’amendement de l’intéressée et motiver un pronostic concrètement défavorable. De plus, la prévenue se voit astreinte à une règle de conduite. Dans ces conditions, la peine peut être assortie du sursis total et il n’y a pas lieu de révoquer le précédent sursis.</w:t>
      </w:r>
    </w:p>
    <w:p>
      <w:r>
        <w:rPr>
          <w:b/>
        </w:rPr>
        <w:t>E. 5</w:t>
      </w:r>
    </w:p>
    <w:p>
      <w:r>
        <w:t>En conclusion, l’appel du Ministère public doit être rejeté. Vu le sort de la cause, les frais de la présente procédure resteront à la charge de l’Etat (art. 428 al. 1 CPP). Me Audrey Moret a produit une liste des opérations et requis une indemnité de défenseur d’office de 2'926 fr. 20. Compte tenu de l’ampleur de la procédure d’appel et du fait que l’avocate prénommée a entièrement délégué l'affaire à sa stagiaire, il convient de lui octroyer, à la charge de l’Etat, la somme de 1'317 fr. 60 à titre d'indemnité d'office. Ce montant correspond à 8 heures d’honoraires à 110 fr., plus deux vacations à 120 fr. pour les trajets (CAPE 13 mars 2013/64 c. 13.3) et 100 fr. de débours, plus la TVA à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