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158 vom 12. Juni 2012</w:t>
      </w:r>
    </w:p>
    <w:p>
      <w:r>
        <w:t>VD Tribunal cantonal, 2012-06-12, FR</w:t>
      </w:r>
    </w:p>
    <w:p>
      <w:r>
        <w:rPr>
          <w:b/>
        </w:rPr>
        <w:t xml:space="preserve">Quelle: </w:t>
      </w:r>
      <w:r>
        <w:t>https://mcp.opencaselaw.ch/entscheid/vd_findinfo_Jug___2013___158</w:t>
      </w:r>
    </w:p>
    <w:p>
      <w:r>
        <w:t>FR: VD_FINDINFO Jug / 2013 / 158 du 12 juin 2012</w:t>
      </w:r>
    </w:p>
    <w:p>
      <w:r>
        <w:t>IT: VD_FINDINFO Jug / 2013 / 158 del 12 giugno 2012</w:t>
      </w:r>
    </w:p>
    <w:p>
      <w:pPr>
        <w:pStyle w:val="Heading2"/>
      </w:pPr>
      <w:r>
        <w:t>Regeste</w:t>
      </w:r>
    </w:p>
    <w:p>
      <w:r>
        <w:t>ABUS DE CONFIANCE, FAUX INTELLECTUEL DANS LES TITRES, FAUX MATÉRIEL DANS LES TITRES, VIOLATION D'UNE OBLIGATION D'ENTRETIEN | 138 ch. 1 CP, 217 CP, 251 ch. 1 CP, 389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Interjeté par une partie ayant la qualité pour recourir contre le jugement d’un tribunal de première instance qui a clos la procédure (art. 398 al. 1 CPP), l’appel de A.T.________ est recevable. L’appelant ne remet pas en question sa condamnation pour abus de confiance et faux dans les titres. Seule la violation d’une obligation d’entretien est contestée.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w:t>
      </w:r>
    </w:p>
    <w:p>
      <w:r>
        <w:t>L’appelant admet ne pas avoir respecté son obligation d’entretien envers son ex-épouse et ses enfants, mais soutient toutefois que cette carence ne serait pas fautive. Il reproche aux premiers juges d’avoir apprécié les faits de manière erronée en concluant qu’il avait les moyens de subvenir à sa famille et que sa carence est fautive. Il a produit une copie des offres de services qu’il a effectuées entre janvier 2006 et décembre 2009 pour démontrer que cette appréciation serait erronée (P. 282).</w:t>
      </w:r>
    </w:p>
    <w:p>
      <w:r>
        <w:rPr>
          <w:b/>
        </w:rPr>
        <w:t>E. 3.1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(TF 6B_986/2009 du</w:t>
      </w:r>
    </w:p>
    <w:p>
      <w:r>
        <w:rPr>
          <w:b/>
        </w:rPr>
        <w:t>E. 3.2</w:t>
      </w:r>
    </w:p>
    <w:p>
      <w:r>
        <w:t>En l’occurrence, les premiers juges ont retenu que A.T.________, qui se targue d’être titulaire de nombreux diplômes d’ingénieur, d’une licence de pilote et d’un permis de conduire professionnel, ne travaille plus qu’occasionnellement comme chauffeur depuis plusieurs années et ne pourvoit à son propre entretien que grâce à l’aide de ses proches. Ils ont relevé que l’appelant a abandonné une activité salariée et correctement rémunérée dans des circonstances peu claires pour se mettre à son compte, sans succès et que s’il semble certes avoir ensuite recherché un emploi, il n’a pas convaincu d’avoir fait tout ce qui était en son pouvoir pour retrouver une activité lui permettant, au moins partiellement, de pourvoir à l’entretien de ses enfants. Les premiers juges ont conclu que l’appelant semblait avoir décidé de ne pas verser un centime à sa famille, ce depuis la séparation, retenant en outre qu’il était responsable tant de sa situation financière obérée que des inscriptions figurant à son casier. Enfin, rien n’indique que l’appelant, âgé de 48 ans, ne bénéficierait pas de sa pleine capacité de travail et ne pourrait ainsi pas trouver une activité même subalterne lui procurant un revenu régulier (jgt., p. 122). L’analyse des premiers juges est convaincante et doit être suivie. La Cour relève qu’il est en effet surprenant qu’une personne bardée de diplômes ne puisse absolument rien trouver sur le marché du travail et cela depuis plusieurs années. En outre, elle constate que le 8 août 2008, l’appelant a été engagé comme responsable d’affaires pour l’entreprise [...] SA à Martigny pour un salaire mensuel de 8'000 francs (P. 282/3 p.30). Dit contrat a été résilié par l’employeur le 21 août suivant (P. 282/3 p.31) et l’appelant a été engagé dès le 22 août 2008 par la maison [...] en qualité de vendeur pour un salaire mensuel de 7'000 fr., 13 e salaire en sus (P. 282/3 p. 29). L’appelant a dès lors lui-même démontré, par les pièces qu’il a produites, qu’il pouvait trouver du travail et que sa carence est fautive au sens de l’art. 217 CP. Partant, l’appréciation des faits opérée par les premiers juges n’est nullement erronée. Ce grief, mal fondé, doit être rejeté. 4. Sans contester ni la nature, ni la quotité de la peine prononcée à son encontre, l’appelant requiert toutefois qu’elle soit assortie du sursis complet. 4.1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 4.2.3). Le fait que l'auteur ait omis de réparer le dommage comme on pouvait raisonnablement l'attendre de lui (art. 42 al. 3 CP) est également un indice à prendre en compte dans l'établissement du pronostic (ATF 134 IV 1 c. 4.2.4). Le juge dispose d'un large pouvoir d'appréciation dans l'émission du pronostic visé par l'art. 42 CP (ATF 134 IV 140 c. 4.2). 4.2 En l’espèce, les premiers juges ont relevé, à juste titre, que lorsque l’appelant a commis les dernières infractions objets de la présente procédure, soit en octobre 2008, il avait fait l’objet quelques mois auparavant d’une condamnation à une peine privative de liberté de vingt-quatre mois, dont dix-huit assortis d’un sursis de quatre ans. Ils ont également relevé que, hormis la première condamnation de 2002, toutes les peines prononcées à l’encontre de l’appelant sont des peines d’emprisonnement et que les sursis qui lui ont été accordés ont pratiquement tous été révoqués. C’est donc dire qu’il a régulièrement trahi la confiance qui a pu lui être accordée par le passé. Ils ont en outre retenu qu’aucune circonstance particulièrement favorable ne permettait de surseoir à l’exécution de la peine, les infractions à juger n’étant pas sans rapport avec les infractions antérieures (jgt., p. 127). Aucune circonstance particulièrement favorable ne peut en effet être constatée : les conditions de vie de l’appelant ne se sont pas modifiées de manière particulièrement positive. Enfin, mis à part les versements effectués à hauteur de quelques centaines de francs, entre juin et octobre 2012 (P. 290/1 et 290), et nonobstant la reconnaissance de dette qu’il a signée en faveur de l’ORAPA le 16 mai 2012 (P. 290/2), l’intéressé n’a pas fait ce qu’on pouvait raisonnablement attendre de lui pour rétablir la situation. Partant, l’appréciation des premiers juges ne prête pas le flanc à la critique et doit être confirmée. L’octroi du sursis est dès lors exclu. 5. L’appelant requiert qu’il soit renoncé à la révocation du sursis qui lui a été accordé par le Tribunal du district de Sion le 13 juillet 2006. 5.1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L'inverse est également admissible: si le sursis précédent est révoqué, l'exécution de la peine qui en était assortie peut conduire à nier l'existence d'un pronostic défavorable pour la nouvelle peine et, partant, à assortir cette dernière du sursis (ATF 134 IV 140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(TF 6B_855/2010 du 7 avril 2011 consid. 2.2). 5.2 En l’occurrence, les premiers juges ont relevé que l’appelant avait récidivé de manière spéciale dans le délai d’épreuve accordé par le Tribunal de district de Sion le 13 juillet 2006. Il avait en effet été condamné, notamment pour violation d’une obligation d’entretien, à une peine d’emprisonnement de trente jours avec sursis pendant trois ans et a persisté à ne pas subvenir à l’entretien de sa famille. Les premiers juges ont retenu que l’appelant ne semblait pas prêt de modifier cet état de fait, la seule piste évoquée étant celle d’une éventuelle modification du jugement de divorce. Ils ont considéré que ces éléments justifiaient la révocation du sursis précédemment octroyé (jgt., p. 128). Là encore, la Cour d’appel pénale adhère à l’analyse des premiers juges. Elle relève que A.T.________ n’a cessé de faire des promesses s’agissant de son obligation d’entretien vis-à-vis de ses enfants, sans jamais toutefois les tenir malgré les délais qui lui ont été accordés. Ainsi, à ce jour, et nonobstant les deux suspensions d’audience dont il a bénéficié durant la procédure d’appel, A.T.________ n’a toujours pas remboursé sa dette auprès de l’ORAPA. La Cour de céans estime que par cette attitude, l’appelant laisse craindre qu’il persistera dans son refus d’honorer ses engagements vis-à-vis des siens. Le pronostic est ainsi très défavorable. Seule la révocation du sursis accordé le 13 juillet 2006 est à même de faire comprendre à l’appelant qu’il ne peut se soustraire impunément à ses obligations familiales. 6. Vu l'issue de la cause, l'appel de A.T.________ est rejeté et le jugement rendu le 12 juin 2012 par le Tribunal correctionnel de l'arrondissement de Lausanne est confirmé. Les frais de la procédure d'appel, par 2'850 fr., doivent être mis à la charge de l’appelant qui succombe (art. 428 al. 1 CPP).</w:t>
      </w:r>
    </w:p>
    <w:p>
      <w:r>
        <w:rPr>
          <w:b/>
        </w:rPr>
        <w:t>E. 8</w:t>
      </w:r>
    </w:p>
    <w:p>
      <w:r>
        <w:t>juin 2010, publié aux ATF 136 IV 122, c. 2 in initio ). La question de savoir quelles sont les ressources qu'aurait pu avoir le débiteur d'entretien – ce qui relève de l'appréciation des preuves et de l'établissement des faits (CORBOZ, Les infractions en droit suisse, 3 e éd., 2010, n. 28 ad art. 217 CP) – doit être tranchée par le juge pénal s'agissant d'une condition objective de punissabilité au regard de l'art. 217 CP. L'infraction peut être intentionnelle, ou commise par dol éventuel; l'intention suppose que l'auteur ait connu les faits qui fondent son obligation d'entretien et le dol éventuel est réalisé pour autant qu'il en ait accepté l'éventualité et s'en soit accommodé (ATF 136 IV 122 c. 2.4 in fine). D'un point de vue objectif, l'obligation d'entretien est violée lorsque le débiteur ne fournit pas intégralement, à temps et à disposition de la personne habilitée à la recevoir, la prestation d'entretien qu'il doit en vertu du droit de la famille (CORBOZ, op. cit.,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Se met ainsi fautivement dans l’incapacité de payer, une personne travaillant en qualité d’indépendant qui refuse de passer à un statut de salarié, celui qui est empêché de poursuivre une activité rémunérée régulière du fait de ses agissements illicites, celui qui opte pour une occupation instable ou encore celui qui omet de faire valoir des prétentions d’assurances sociales auxquelles il aurait droit (Dupuis et alllii, Petit commentaire du Code pénale, Bâle 2012, n. 18 ad art. 217). La capacité économique du débiteur de verser la contribution d'entretien se détermine par analogie avec le droit des poursuites relatif au minimum vital (art. 93 LP; ATF 121 IV 272 c.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