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143 vom 7. März 2013</w:t>
      </w:r>
    </w:p>
    <w:p>
      <w:r>
        <w:t>VD Tribunal cantonal, 2013-03-07, FR</w:t>
      </w:r>
    </w:p>
    <w:p>
      <w:r>
        <w:rPr>
          <w:b/>
        </w:rPr>
        <w:t xml:space="preserve">Quelle: </w:t>
      </w:r>
      <w:r>
        <w:t>https://mcp.opencaselaw.ch/entscheid/vd_findinfo_Jug___2013___143</w:t>
      </w:r>
    </w:p>
    <w:p>
      <w:r>
        <w:t>FR: VD_FINDINFO Jug / 2013 / 143 du 7 mars 2013</w:t>
      </w:r>
    </w:p>
    <w:p>
      <w:r>
        <w:t>IT: VD_FINDINFO Jug / 2013 / 143 del 7 marzo 2013</w:t>
      </w:r>
    </w:p>
    <w:p>
      <w:pPr>
        <w:pStyle w:val="Heading2"/>
      </w:pPr>
      <w:r>
        <w:t>Regeste</w:t>
      </w:r>
    </w:p>
    <w:p>
      <w:r>
        <w:t>INDICE, LIBRE APPRÉCIATION DES PREUVES | 10 CP, 90 ch. 2 LCR, 91 al. 1 LCR, 94 ch. 1 LCR, 95 ch. 2 LCR, 19 ch. 1 al. 6 LStup, 19 ch. 2 let. a LStup</w:t>
      </w:r>
    </w:p>
    <w:p>
      <w:pPr>
        <w:pStyle w:val="Heading2"/>
      </w:pPr>
      <w:r>
        <w:t>Erwägungen</w:t>
      </w:r>
    </w:p>
    <w:p>
      <w:r>
        <w:rPr>
          <w:b/>
        </w:rPr>
        <w:t>E. 1</w:t>
      </w:r>
    </w:p>
    <w:p>
      <w:r>
        <w:t>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I.________ et L.________ soulèvent des griefs similaires dans leurs appels respectifs, contestant tous les deux leur implication dans un trafic d’héroïne. Ils reprochent aux premiers juges de les avoir condamnés sur la base de témoignages anonymes, sans qu’ils aient pu être confrontés à leurs dénonciateurs, ce qui constituerait, selon eux, une violation de l’art. 6 § 1 et § 3 let. d CEDH (Convention de sauvegarde des droits de l'homme et des libertés fondamentales ; RS 0.101). I.________ cite en particulier un arrêt de la Cour européenne des droits de l’homme [...] c. Suisse du 6 décembre 2012, requête n° 25088/07.</w:t>
      </w:r>
    </w:p>
    <w:p>
      <w:r>
        <w:rPr>
          <w:b/>
        </w:rPr>
        <w:t>E. 3.1</w:t>
      </w:r>
    </w:p>
    <w:p>
      <w:r>
        <w:t>Aux termes de l’art. 6 §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Aux termes de l'art. 6 § 3 let. d CEDH, tout accusé a le droit d'interroger ou de faire interroger les témoins à charge et d'obtenir la citation et l'interrogatoire des témoins à décharge dans les mêmes conditions que les témoins à charge. Ce droit découle aussi de l'art. 29 Cst. (TF 6B_22/2012 du 25 mai 2012, consid. 3.1 et les réf. citées).</w:t>
      </w:r>
    </w:p>
    <w:p>
      <w:r>
        <w:rPr>
          <w:b/>
        </w:rPr>
        <w:t>E. 3.2</w:t>
      </w:r>
    </w:p>
    <w:p>
      <w:r>
        <w:t>Contrairement à ce que soutiennent les appelants, leur condamnation ne s’appuie pas sur des témoignages anonymes, mais sur les résultats d’une enquête menée durant plusieurs mois. En effet, les renseignements des informateurs anonymes n’ont été que le déclencheur d’une enquête distincte qui a mené à l’inculpation des appelants, comme l’a d’ailleurs confirmé l’inspecteur Z.________ aux débats de première instance (jgt., p. 41). Aucun élément concret ne permet de douter de la véracité de cette affirmation. Ce n’est ainsi que sur la base d’autres moyens de preuves, qui seront discutés plus avant, que les condamnations ont été prononcées. La Cour de céans relève en outre que I.________ lui-même prétend connaître le nom du ou des informateurs, qu’il a cité aux débats (jgt., p. 47), et à l’égard desquels il a formulé des menaces (P. 12 ch. 2.2.4). Ces éléments rendent sans objet la requête des appelants visant à connaître le nom du ou des informateurs. Compte tenu de ce qui précède, la référence à l’arrêt de la CEDH du</w:t>
      </w:r>
    </w:p>
    <w:p>
      <w:r>
        <w:rPr>
          <w:b/>
        </w:rPr>
        <w:t>E. 6</w:t>
      </w:r>
    </w:p>
    <w:p>
      <w:r>
        <w:t>Il convient encore de relever que la détention subie par I.________ depuis le jugement de première instance sera déduite. Son maintien en détention à titre de sûreté sera ordonné au regard du risque de fuite avéré compte tenu de sa situation personnelle et de l’importance de la peine prononcée.</w:t>
      </w:r>
    </w:p>
    <w:p>
      <w:r>
        <w:rPr>
          <w:b/>
        </w:rPr>
        <w:t>E. 7</w:t>
      </w:r>
    </w:p>
    <w:p>
      <w:r>
        <w:t>mars 2013 par le Tribunal correctionnel de l’arrondissement de La Broye et du Nord vaudois est intégralement confirmé. Chacun des appelants succombant entièrement sur ses conclusions, les frais communs de la procédure d'appel, par 3'010 francs (art. 422 CPP; art. 21 al. 1 et 2 TFJP [Tarif des frais judiciaires pénaux du 28 septembre 2010 ; RSV 312.03.1]), doivent être mis à leur charge par moitié chacun (art. 428 al. 1, 1 ère phrase, CPP). Chacun des appelants supportera en outre l'indemnité allouée à son défenseur d'office pour la procédure d'appel. Au vu de l'ampleur et la complexité de la cause, une indemnité pour la procédure d’appel de 1'522 fr. 80, TVA et débours inclus, est allouée à Me Laurent Moreillon. En ce qui concerne Me Fischer, les 32 heures annoncées au titre de la rédaction d’un appel paraissent tout à fait excessives s’agissant d’un avocat qui connaissait le dossier pour avoir assisté aux audiences successives tenues dans le cadre des débats de première instance. L’allocation d’une indemnité d’appel de 2'494 fr. 80, TVA et débours inclus, correspondant à un mandat de 12 heures, est adéquate. I.________ et L.________ ne seront tenus de rembourser à l’Etat le montant des indemnités en faveur de leur conseil d’office que lorsque leur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