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141 vom 17. Dezember 2012</w:t>
      </w:r>
    </w:p>
    <w:p>
      <w:r>
        <w:t>VD Tribunal cantonal, 2012-12-17, FR</w:t>
      </w:r>
    </w:p>
    <w:p>
      <w:r>
        <w:rPr>
          <w:b/>
        </w:rPr>
        <w:t xml:space="preserve">Quelle: </w:t>
      </w:r>
      <w:r>
        <w:t>https://mcp.opencaselaw.ch/entscheid/vd_findinfo_Jug___2013___141</w:t>
      </w:r>
    </w:p>
    <w:p>
      <w:r>
        <w:t>FR: VD_FINDINFO Jug / 2013 / 141 du 17 décembre 2012</w:t>
      </w:r>
    </w:p>
    <w:p>
      <w:r>
        <w:t>IT: VD_FINDINFO Jug / 2013 / 141 del 17 dicembre 2012</w:t>
      </w:r>
    </w:p>
    <w:p>
      <w:pPr>
        <w:pStyle w:val="Heading2"/>
      </w:pPr>
      <w:r>
        <w:t>Regeste</w:t>
      </w:r>
    </w:p>
    <w:p>
      <w:r>
        <w:t>SOUSTRACTION À LA PRISE DE SANG, VIOLATION DES DEVOIRS EN CAS D'ACCIDENT, RESPONSABILITÉ{DROIT PÉNAL}, HOMICIDE PAR NÉGLIGENCE | 117 CP, 19 CP, 51 al. 2 LCR, 51 LCR, 91a LCR, 92 al. 2 LCR</w:t>
      </w:r>
    </w:p>
    <w:p>
      <w:pPr>
        <w:pStyle w:val="Heading2"/>
      </w:pPr>
      <w:r>
        <w:t>Erwägungen</w:t>
      </w:r>
    </w:p>
    <w:p>
      <w:r>
        <w:rPr>
          <w:b/>
        </w:rPr>
        <w:t>E. 1</w:t>
      </w:r>
    </w:p>
    <w:p>
      <w:r>
        <w:t>Interjeté dans les formes et délais légaux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fait valoir que c’est à tort que le tribunal de police n’a pas retenu la violation des art. 91a al. 1 aLCR et 92 al. 2 aLCR, en raison du comportement de l’intimé après la collision. Il soutient qu’au regard de la gravité de l’accident, qui a entraîné mort d’homme, et du fait que le prévenu avait déjà été condamné pour ivresse au volant, l’auteur ne pouvait que savoir qu’il allait être soumis à un contrôle de son aptitude à conduire et qu’il devait donc rester sur place. Le choc n’avait, toujours selon l’appelant, pas pu annihiler chez ce dernier toute conscience de ses devoirs élémentaires.</w:t>
      </w:r>
    </w:p>
    <w:p>
      <w:r>
        <w:rPr>
          <w:b/>
        </w:rPr>
        <w:t>E. 4</w:t>
      </w:r>
    </w:p>
    <w:p>
      <w:r>
        <w:t>(,,,) ».</w:t>
      </w:r>
    </w:p>
    <w:p>
      <w:r>
        <w:rPr>
          <w:b/>
        </w:rPr>
        <w:t>E. 4.1</w:t>
      </w:r>
    </w:p>
    <w:p>
      <w:r>
        <w:t>Les art. 91a al. 1 LCR et 92 al. 2 LCR ont été modifiés au 1 er janvier 2013. Les faits incriminés étant antérieurs à l’entrée en vigueur du nouveau droit, moins favorable au prévenu que l’ancien, c’est l’ancien droit qui doit être appliqué, à défaut du nouveau au titre de lex mitior . L’art. 91a LCR, dans sa teneur au moment des faits, soit en septembre 2011, dispose que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(al. 1.) La peine sera l’amende si le délinquant a conduit un véhicule sans moteur ou s’il a été impliqué dans un accident en qualité d’usager de la route (al. 2). L’art. 92 LCR, dans sa teneur au 1 er janvier 2011, prévoit que celui qui, lors d’un accident, aura violé les devoirs que lui impose la présente loi sera puni de l’amende (al. 1). Le conducteur qui aura pris la fuite après avoir tué ou blessé une personne lors d’un accident de la circulation sera puni d’une peine privative de liberté de trois ans au plus ou d’une peine pécuniaire (al. 2). Les art. 91a al. 1 LCR et 92 al. 2 LCR peuvent entrer en concours parfait (Jeanneret, Les dispositions pénales de la LCR, Berne 2007, n. 172 ss ad art. 92 LCR, pp. 192 s.).</w:t>
      </w:r>
    </w:p>
    <w:p>
      <w:r>
        <w:rPr>
          <w:b/>
        </w:rPr>
        <w:t>E. 4.2</w:t>
      </w:r>
    </w:p>
    <w:p>
      <w:r>
        <w:t>L’art. 91a al. 1 LCR prévoit trois hypothèses alternatives, à savoir l'opposition, la dérobade et l'entrave à la constatation de l'alcoolémie.</w:t>
      </w:r>
    </w:p>
    <w:p>
      <w:r>
        <w:rPr>
          <w:b/>
        </w:rPr>
        <w:t>E. 4.2.1</w:t>
      </w:r>
    </w:p>
    <w:p>
      <w:r>
        <w:t>L’opposition suppose que la mesure a été ordonnée et que l’intéressé l’a refusée, ce qui n’est pas le cas ici.</w:t>
      </w:r>
    </w:p>
    <w:p>
      <w:r>
        <w:rPr>
          <w:b/>
        </w:rPr>
        <w:t>E. 4.2.2</w:t>
      </w:r>
    </w:p>
    <w:p>
      <w:r>
        <w:t>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(ATF 124 IV 175; TF 6b_216/2010 du 11 mai 2010 c. 3.1).</w:t>
      </w:r>
    </w:p>
    <w:p>
      <w:r>
        <w:rPr>
          <w:b/>
        </w:rPr>
        <w:t>E. 4.2.3</w:t>
      </w:r>
    </w:p>
    <w:p>
      <w:r>
        <w:t>L’art. 91a al. 1 LCR distingue enfin l’hypothèse de la mise en échec de la constatation de l’incapacité de conduire. On vise ici tout autre comportement qui empêche cette constatation au moment pertinent par la mesure spécifique du constat. Tel est en particulier le cas de l’auteur qui, après avoir conduit, s’empresse de boire de l’alcool avant tout examen de manière à empêcher de reconstituer son taux d’alcoolémie au moment où il conduisait ou de l’auteur qui dérobe, intervertit ou détruit la veinule contenant le sang ou l’urine prélevés par le médecin (Jeanneret, op. cit., nn. 29-33 ad art. 91a LCR, pp. 134 ss).</w:t>
      </w:r>
    </w:p>
    <w:p>
      <w:r>
        <w:rPr>
          <w:b/>
        </w:rPr>
        <w:t>E. 4.2.4</w:t>
      </w:r>
    </w:p>
    <w:p>
      <w:r>
        <w:t>S’agissant de l’art. 92 al. 2 LCR, la jurisprudence a précisé que la fuite consiste à ne pas se tenir disponible, en tant que conducteur, sur les lieux de l'accident aussi longtemps que les constatations ne sont pas terminées ( ATF 103 Ib 101 c. 3 p. 107). En réprimant la fuite du conducteur, l'art. 92 al. 2 LCR entend poursuivre un triple but : tout d'abord, limiter au minimum les dommages, grâce à l'aide aux blessés et à l'adoption de mesures propres à garantir la sécurité de la circulation, puis permettre l'établissement rapide et sûr des circonstances de l'accident et enfin identifier les intéressés et les témoins, cela également en prévision d'un éventuel procès civil ( ATF 95 IV 150 c. 2 p. 152).</w:t>
      </w:r>
    </w:p>
    <w:p>
      <w:r>
        <w:rPr>
          <w:b/>
        </w:rPr>
        <w:t>E. 4.3</w:t>
      </w:r>
    </w:p>
    <w:p>
      <w:r>
        <w:t>L'art. 51 LCR réglemente les devoirs en cas d'accident. Cette disposition a la teneur suivante : «1 En cas d’accident où sont en cause des véhicules automobiles ou des cycles, toutes les personnes impliquées devront s’arrêter immédiatement. Elles sont tenues d’assurer, dans la mesure du possible, la sécurité de la circulation. 2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3 Si l’accident n’a causé que des dommages matériels, leur auteur en avertira tout de suite le lésé en indiquant son nom et son adresse. En cas d’impossibilité, il en informera sans délai la police.</w:t>
      </w:r>
    </w:p>
    <w:p>
      <w:r>
        <w:rPr>
          <w:b/>
        </w:rPr>
        <w:t>E. 5</w:t>
      </w:r>
    </w:p>
    <w:p>
      <w:r>
        <w:t>L’appelant fait grief à l’intimé d’être parti sans attendre la police, au lieu de rester sur les lieux de l’accident, étant précisé que la collision avait causé mort d’homme, ce que l’auteur savait. A lui seul, le départ de l’intimé des lieux avant l’arrivée de la police a entravé l’enquête, nonobstant le fait que son identité était déjà connue sur la base des indications données par l’intéressé, qui a donc violé ses devoirs en cas d’accident. Cet élément satisfait à la définition de la mise en échec selon l’art. 91a al. 1 LCR au sens défini ci-dessus et contrevient à l’art. 92, spécialement al. 2, LCR. A ceci s’ajoute que l’intimé avait consommé de l’alcool, à telle enseigne du reste qu’il avait prévu de dormir chez un ami et que son hôte lui avait offert de l’héberger. Plus encore, en consommant une boisson alcoolisée en début de matinée le lendemain après sa nuit d’errance, il a entravé la mesure rétrospective de son alcoolémie. En effet, le CUMRL n’a pu déterminer l’alcoolémie théorique lors des faits qu’avec une marge d’erreur considérable, dont la limite inférieure est en deçà du seuil légal. Cet élément satisfait à la définition de la dérobade selon l’art. 91a al. 1 LCR au sens défini ci-dessus. Il s’ensuit que les éléments constitutifs objectifs des infractions réprimées par les art. 91a et 92 al. 2 LCR sont réunis.</w:t>
      </w:r>
    </w:p>
    <w:p>
      <w:r>
        <w:rPr>
          <w:b/>
        </w:rPr>
        <w:t>E. 6.1</w:t>
      </w:r>
    </w:p>
    <w:p>
      <w:r>
        <w:t>Cela étant, l’intimé soutient avoir été sous l’emprise d’un état de choc émotionnel tel qu’il serait de nature à diminuer, sa responsabilité pénale, voire à la supprimer et qu’il n’avait quoi qu’il en soit pas l’intention d’enfreindre une disposition pénale. L’art. 91a LCR est une infraction intentionnelle; cette norme déroge ainsi au système général de l’art. 100 ch. 1 LCR, qui dispose que, sauf disposition expresse et contraire de la loi, la négligence est aussi punissable (1 re phrase). L’art. 92 al. 2 LCR réprime tant l’intention que la négligence (cf. Jeanneret, op. cit., n. 215 ad art. 92 LCR, p. 204). Selon l’art. 19 CP, l’auteur n’est pas punissable si, au moment d’agir, il ne possédait pas la faculté d’apprécier le caractère illicite de son acte ou de se déterminer d’après cette appréciation. A l’aune de cette disposition, la durée du trouble importe peu; une altération grave et passagère suffit (Dupuis/Geller/Monnier/ Moreillon/Piguet/Bettex/Stoll [éd.], Petit commentaire CP, Bâle 2012, n. 6 ad art. 19 CP, p. 141).</w:t>
      </w:r>
    </w:p>
    <w:p>
      <w:r>
        <w:rPr>
          <w:b/>
        </w:rPr>
        <w:t>E. 6.2</w:t>
      </w:r>
    </w:p>
    <w:p>
      <w:r>
        <w:t>Certes, un état de choc est attesté par les dépositions des témoins [...] et [...]. On ignore ce que le prévenu a fait de sa nuit; on sait cependant qu’il a enlevé ou perdu ses chaussures, dès lors qu’il était pieds nus lorsqu’il s’est rendu à la gendarmerie vers 9 h le lendemain. En outre, sa femme a déclaré en audience qu’il avait des réactions très inattendues dans des situations de stress et qu’il perdait ses moyens, précisant qu’il était «excessivement émotif et sensible». En revanche, il n’est pas établi que feu N.________ ait été aussi proche du prévenu que celui-ci l’affirme, dès lors que l’épouse de l’intimé ne le connaissait pas. A cet égard, le prévenu tente d’exagérer l’étroitesse des rapports qu’il entretenait avec le défunt à l’appui de son moyen déduit d’une irresponsabilité consécutive à son état de choc. Si un état d’émotion considérable est certes établi, on ne peut pour autant parler d’une décompensation au sens psychiatrique. Du reste, une irresponsabilité pour un tel motif ne pourrait être prouvée que par un avis médical et quiconque tue accidentellement ne peut que se trouver en état de choc. Qui plus est, l’intimé a besoin de conduire, en particulier pour son activité de maraîcher. Or, il risquait le retrait de son permis au vu de ses antécédents d’ivresse au volant, ce qu’il ne pouvait ignorer du fait qu’avant de prendre le volant, il avait consommé de l’alcool. Il s’ensuit qu’il avait au moins un mobile objectif pour quitter les lieux et tenter de cacher son taux exact alcoolémie lors des faits. C’est donc en agissant avec conscience et volonté, et non seulement par dol éventuel, que l’intimé a violé ses devoirs en cas d’accident, qu’il s’est dérobé aux mesures visant à déterminer son incapacité de conduire et qu’il a rendu impossible l’évaluation de son taux d’alcoolémie en buvant une bière au moins. Dans cette mesure, c’est à tort, soit en abusant de son pouvoir d’appréciation au sens de l’art. 398 al. 3 let. a CPP, que le premier juge a retenu un doute, si léger soit-il, quant aux intentions de l’auteur lors de sa fuite.</w:t>
      </w:r>
    </w:p>
    <w:p>
      <w:r>
        <w:rPr>
          <w:b/>
        </w:rPr>
        <w:t>E. 7.1</w:t>
      </w:r>
    </w:p>
    <w:p>
      <w:r>
        <w:t>La déclaration de culpabilité étant alourdie, il y a lieu de fixer à nouveau la peine, ce pour l’ensemble des infractions incriminées. La qualification d’homicide par négligence, infraction réprimée par l’art. 117 CP, n’est pas contestée. Le genre de la peine ne fait pas davantage l’objet de l’appel.</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L’art. 47 CP est applicable aux dispositiosn pénales de la LCR (art. 102 al. 1 LCR).</w:t>
      </w:r>
    </w:p>
    <w:p>
      <w:r>
        <w:rPr>
          <w:b/>
        </w:rPr>
        <w:t>E. 8</w:t>
      </w:r>
    </w:p>
    <w:p>
      <w:r>
        <w:t>A charge, il y a lieu de retenir le concours réel d’infractions; le fait que le prévenu a porté atteinte au bien juridiquement protégé le plus important; le fait que l’auteur, fatigué et sous l’emprise d’une certaine quantité d’alcool, roulait sur la ligne de direction, faisant ainsi fi de son obligation de tenir le côté droit de la chaussée, laquelle constitue pourtant une règle élémentaire de la conduite automobile, tout en s’allumant une cigarette; la gravité de sa négligence, qui est seule à l’origine de l’accident, vu les bonnes conditions de circulation; ses antécédents en matière de LCR, qui sont significatifs, étant précisé que la condamnation prononcée le 27 mai 2008 l’a été pour avoir conduit avec une alcoolémie de 1,83 ‰; le fait qu’il persiste à nier l’influence de l’alcool dans la collision; la durée de sa dérobade, qui a perduré une nuit entière et qui a entraîné l’intervention de forces importantes de police; sa mise en échec de la détermination rétrospective de son alcoolémie. Cela étant, il y a également des éléments à décharge, à savoir la bonne intégration sociale du prévenu, les renseignements favorables recueillis de son employeur, ainsi que les regrets et excuses exprimés; en outre, son caractère émotif a pu jouer un certain rôle dans sa fuite. Tout bien pesé, c’est une peine pécuniaire de 180 jours-amende qui apparaît adéquate pour réprimer les actes incriminés.</w:t>
      </w:r>
    </w:p>
    <w:p>
      <w:r>
        <w:rPr>
          <w:b/>
        </w:rPr>
        <w:t>E. 8.1</w:t>
      </w:r>
    </w:p>
    <w:p>
      <w:r>
        <w:t>Le Ministère public conclut à ce que la peine soit assortie du sursis partiel pour la moitié de sa quotité. Pour sa part, le premier juge a retenu que les conditions subjectives du sursis, même partiel, n’étaient pas réunies.</w:t>
      </w:r>
    </w:p>
    <w:p>
      <w:r>
        <w:rPr>
          <w:b/>
        </w:rPr>
        <w:t>E. 8.2</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w:t>
      </w:r>
    </w:p>
    <w:p>
      <w:r>
        <w:rPr>
          <w:b/>
        </w:rPr>
        <w:t>E. 8.3</w:t>
      </w:r>
    </w:p>
    <w:p>
      <w:r>
        <w:t>De jurisprudence constante, les conditions subjectives auxquelles l'art. 42 CP soumet l'octroi du sursis intégral s'appliquent également à l'octroi du sursis partiel prévu à l’art. 43 CP (ATF 134 IV 1 c. 5.3.1 p. 10;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Lorsque la peine prononcée permet le choix entre le sursis complet (art. 42 CP) et le sursis partiel (art. 43 CP),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TF 6B_664/2007 du 18 janvier 2008 c.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précité c. 5.5.2, p. 14). Mais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 cit.).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w:t>
      </w:r>
    </w:p>
    <w:p>
      <w:r>
        <w:rPr>
          <w:b/>
        </w:rPr>
        <w:t>E. 8.4</w:t>
      </w:r>
    </w:p>
    <w:p>
      <w:r>
        <w:t>Les conditions de principe d’un sursis partiel sont réunies. Pour ce qui est de la faute de l’auteur, renvoi soit aux considérants relatifs à l’art. 47 CP. A défaut d’appel joint, il n’y a pas lieu de se demander si les antécédents de l’auteur en matière de LCR autoriseraient un pronostic quant au comportement futur de l'auteur qui ne soit pas défavorable et, partant, un sursis complet. Avec le Ministère public, on peut considérer que les conditions, notamment subjectives, d’un sursis partiel sont réunies. Vu les antécédents d’ivresse au volant de l’intimé, l'impératif de prévention spéciale commande de n'octroyer le sursis pour une partie de la peine que moyennant l’exécution de l'autre partie. Il y a donc lieu de suspendre l’exécution de la moitié de la peine, portant sur 90 jours-amende. Le délai d’épreuve doit être proche du maximum légal de cinq ans (art. 44 al. 1 CP), l’auteur persistant à minimiser les effets de l’alcool. Ce délai doit être fixé à quatre ans, comme requis par l’appelant.</w:t>
      </w:r>
    </w:p>
    <w:p>
      <w:r>
        <w:rPr>
          <w:b/>
        </w:rPr>
        <w:t>E. 9</w:t>
      </w:r>
    </w:p>
    <w:p>
      <w:r>
        <w:t>Le montant du jour-amende, arrêté à 50 fr., n’est pas contesté. Vérifié d’office, il s’avère conforme aux critères posés par l’art. 34 al. 2 CP.</w:t>
      </w:r>
    </w:p>
    <w:p>
      <w:r>
        <w:rPr>
          <w:b/>
        </w:rPr>
        <w:t>E. 10</w:t>
      </w:r>
    </w:p>
    <w:p>
      <w:r>
        <w:t>Vu l'issue de l'appel, l'appelant n’obtenant gain de cause que partiellement, les frais de la procédure d'appel doivent être mis à la charge de l'intimé à raison de la moitié, le solde étant laissé à celle de l’Etat (art. 428 al. 1, 1 ère phrase, CPP). Ces frais sont limités à l'émolument (art. 21 al. 1 et 2 TFJP). Les frais de première instance doivent rester à la charge du prévenu, dont la condamnation est confirmée. L’intimé, représenté par un défenseur de choix, succombe sur ses conclusions tendant au rejet de l’appel. Il n’y a donc pas lieu de lui allouer une indemnité de dépens au sens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