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90 vom 20. Oktober 2011</w:t>
      </w:r>
    </w:p>
    <w:p>
      <w:r>
        <w:t>VD Tribunal cantonal, 2011-10-20, FR</w:t>
      </w:r>
    </w:p>
    <w:p>
      <w:r>
        <w:rPr>
          <w:b/>
        </w:rPr>
        <w:t xml:space="preserve">Quelle: </w:t>
      </w:r>
      <w:r>
        <w:t>https://mcp.opencaselaw.ch/entscheid/vd_findinfo_Jug___2012___90</w:t>
      </w:r>
    </w:p>
    <w:p>
      <w:r>
        <w:t>FR: VD_FINDINFO Jug / 2012 / 90 du 20 octobre 2011</w:t>
      </w:r>
    </w:p>
    <w:p>
      <w:r>
        <w:t>IT: VD_FINDINFO Jug / 2012 / 90 del 20 ottobre 2011</w:t>
      </w:r>
    </w:p>
    <w:p>
      <w:pPr>
        <w:pStyle w:val="Heading2"/>
      </w:pPr>
      <w:r>
        <w:t>Regeste</w:t>
      </w:r>
    </w:p>
    <w:p>
      <w:r>
        <w:t>COAUTEUR{DROIT PÉNAL}, TRAVAIL D'INTÉRÊT GÉNÉRAL, TENTATIVE{DROIT PÉNAL}, VOL{DROIT PÉNAL} | 106 CP, 107 CP, 22 ad 139 CP, 19a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être interjeté dans un délai de vingt jours dès la réception de la déclaration d'appel (art. 400 al. 3 CPP). Le Ministère public a, de droit, la qualité pour recourir, soit pour interjeter appel (art. 381 al. 1 CPP). Toute partie qui a un intérêt juridiquement protégé à l’annulation ou à la modification d’une décision a qualité pour recourir contre celle-ci (art. 382 al. 1 CPP). Interjeté dans les forme et délai légaux par une partie ayant la qualité pour recourir contre le jugement d’un tribunal de première instance ayant clos la procédure (art. 398 al. 1 CPP), l'appel du Ministère public, suffisamment motivé au sens de l’art. 399 al. 3 et 4 CPP, est recevable. Il en va de même de l'appel joint de B.________. Il convient donc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I. Appel du Ministère public</w:t>
      </w:r>
    </w:p>
    <w:p>
      <w:r>
        <w:rPr>
          <w:b/>
        </w:rPr>
        <w:t>E. 3</w:t>
      </w:r>
    </w:p>
    <w:p>
      <w:r>
        <w:t>ème édition, Lausanne 2007, n. 1.6 ad art. 172ter CP). 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c. 2c). Il faut donc que le rôle de l'intimé ait été indispensable à la réussite de l'entreprise.</w:t>
      </w:r>
    </w:p>
    <w:p>
      <w:r>
        <w:rPr>
          <w:b/>
        </w:rPr>
        <w:t>E. 3.1</w:t>
      </w:r>
    </w:p>
    <w:p>
      <w:r>
        <w:t>Aux termes de l'art. 139 CP, celui qui, pour se procurer ou procurer à un tiers un enrichissement illégitime, aura soustrait une chose mobilière appartenant à autrui dans le but de se l'approprier sera puni d'une peine privative de liberté de cinq ans au plus ou d'une peine pécuniaire. Selon l'art. 172 ter CP, applicable aux infractions contre le patrimoine, si l’acte ne visait qu’un élément patrimonial de faible valeur ou un dommage de moindre importance, l’auteur sera, sur plainte, puni d’une amende. La limite d'un élément patrimonial de faible valeur a été fixée par la jurisprudence à 300 francs. Pour que l'art. 172 ter CP soit applicable, il faut que l'auteur n'ait eu en vue, d'emblée et constamment, qu'un élément patrimonial de faible valeur. C'est l'intention de l'auteur qui est déterminante, et non le résultat qu'il a effectivement obtenu. Le vol à la tire d'un porte-monnaie implique normalement que l'auteur accepte l'éventualité qu'il contienne plus que 300 fr. (Corboz, Les infractions en droit suisse, 3 ème édition, Berne 2010, n. 21 ad art. 139 CP et la jurisprudence citée). En cas de vol commis avec effraction, il faut admettre, en l'absence d'indices contraires, que l'auteur a envisagé un butin d'au moins 300 francs (Favre/Pellet/Stoudmann, Code pénal annoté,</w:t>
      </w:r>
    </w:p>
    <w:p>
      <w:r>
        <w:rPr>
          <w:b/>
        </w:rPr>
        <w:t>E. 3.2</w:t>
      </w:r>
    </w:p>
    <w:p>
      <w:r>
        <w:t>En l'occurrence, contrairement au raisonnement du Ministère public, la cour de céans retient que ce n'est pas l'effraction comme telle qui permettrait de déduire un dol éventuel d'appropriation relevant forcément du vol simple au sens de l'art. 139 CP, mais bien la question de savoir si les circonstances ont permis au prévenu d'évaluer la valeur de son butin et de la limiter volontairement. Il ressort des faits retenus que B.________ n'a pas volé à l'aveugle de la vodka, de la viande, des mets congelés et des pizzas. Si A.Q.________ a évalué l'ampleur de son appauvrissement, s'agissant des marchandises volées, à environ 150 fr., il a également admis n'avoir qu'une vision approximative de son stock. Or, les deux comparses ont rempli deux sacs à dos de marchandises dérobées en plus d'une caisse de vodka (aud. 7 R. 3), de sorte que le dommage causé a à première vue dépassé la limite des 300 francs. La cour retient surtout que les voleurs s'en sont pris à un coffre-fort qu'ils ont tenté de forcer et qu'ils ont endommagé au point qu'il a fallu le remplacer. Cette tentative de s'emparer du contenu du coffre d'un établissement public exclut le vol d'importance mineure au sens de l'art. 172ter CP. Il est vrai que chacun des voleurs a tenté d'imputer cette tentative à l'autre, mais c'est B.________ qui connaissait les lieux pour y avoir travaillé. Or, A.Q.________ a précisé durant les débats d'appel que le coffre-fort se trouve dans une pièce borgne, scellé dans le mur derrière le battant de la porte qui y donne accès et qu'il n'est ainsi pas aisé de le localiser ou même de réaliser son existence. De plus, la version de B.________, selon laquelle son complice aurait tenté seul de forcer et d'endommager le coffre-fort, n'est pas compatible avec le temps nécessaire à ces actes. En effet, dans une première audition, B.________ a déclaré que le cambriolage avait pris à peine dix minutes (aud. 4 R. 3), alors que lors de l'audition suivante, il a indiqué avoir attendu quinze à vingt minutes dans la voiture le retour de son comparse (aud. 6 R. 3). Selon la version de C.________, le prévenu lui a demandé de l'accompagner jusqu'au pub pour se venger de ses anciens employeurs qui l'auraient renvoyé par SMS. Il a en outre indiqué qu'ils étaient ensemble lorsque le prévenu a tenté de forcer le coffre-fort (aud. 7 R. 3). Le premier juge a considéré que B.________ était plus crédible que son comparse, qui aurait tendance à charger son collègue (jgt., p 8). Le procès-verbal des opérations démontre toutefois que c'est bien B.________ qui s'est spontanément annoncé à la gendarmerie le 21 juin 2010, incriminant son comparse C.________, alors que ce dernier avait disculpé le prévenu pour un autre cas de vol commis dans la nuit du 30 au 31 mars 2010 (cf. jgt., p. 8). Compte tenu de ces éléments, la cour de céans a acquis la conviction que B.________ a guidé et a amené son comparse au coffre-fort et qu'il a participé à la tentative de le forcer. Partant, l'application de l'art. 172ter CP doit être écartée et B.________ reconnu coupable de vol au sens de l'art. 139 CP. L'appel du Ministère public, bien fondé, est admis sur ce point.</w:t>
      </w:r>
    </w:p>
    <w:p>
      <w:r>
        <w:rPr>
          <w:b/>
        </w:rPr>
        <w:t>E. 4</w:t>
      </w:r>
    </w:p>
    <w:p>
      <w:r>
        <w:t>La qualification de vol ayant été établie à satisfaction de droit, il convient encore de fixer la peine.</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4.2</w:t>
      </w:r>
    </w:p>
    <w:p>
      <w:r>
        <w:t>Le Ministère public a requis le prononcé d'une peine pécuniaire de 45 jours-amende, le montant du jour étant fixé à 30 fr., avec sursis pendant deux ans et à une amende de 400 fr., sous déduction de 33 jours de détention avant jugement, la peine de substitution en cas de non paiement fautif de l'amende étant fixée à quatre jours. La cour de céans tiendra compte, à charge, de la trahison commise par B.________ à l'égard d'anciens employeurs qui l'avaient aidé à plusieurs reprises, ainsi que l'existence d'une précédente condamnation. A décharge, il faut retenir l'amateurisme dont a fait preuve le prévenu ainsi que le fait qu'il se soit dénoncé à la police de son propre chef, et enfin de l'accord conclu avec la plaignante. Au vu de l'abandon des chefs d'inculpation de violation de domicile et de dommages à la propriété, une peine équivalent 30 jours, assortie du sursis pendant deux ans, ainsi qu'une amende de 400 fr. pour la contravention, correspond à la culpabilité et à la situation personnelle du prévenu.</w:t>
      </w:r>
    </w:p>
    <w:p>
      <w:r>
        <w:rPr>
          <w:b/>
        </w:rPr>
        <w:t>E. 5.1</w:t>
      </w:r>
    </w:p>
    <w:p>
      <w:r>
        <w:t>Aux termes de l'art. 37 al. 1 CP, à la place d’une peine privative de liberté de moins de six mois ou d’une peine pécuniaire de 180 jours-amende au plus, le juge peut ordonner, avec l’accord de l’auteur, un travail d’intérêt général de 720 heures au plus. Dans la conception de la nouvelle partie générale du Code pénal, la peine pécuniaire constitue la sanction principale. Les peines privatives de liberté ne doivent être prononcées que lorsque l'Etat ne peut garantir d'une autre manière la sécurité publique (Mazzucchelli, Strafrecht I, 2 ème éd., Bâle 2007, n. 11 ad art. 41 CP). Cela résulte du principe de la proportionnalité, mais également de l'intention essentielle, qui était au cœur de la révision de la partie générale du Code pénal en matière de sanction, d'éviter les courtes peines de prison ou d'arrêts, qui font obstacle à la socialisation de l'auteur, et de leur substituer d'autres sanctions (ATF 134 IV 82 c. 4.1; ATF 134 IV 60 c. 4.3).</w:t>
      </w:r>
    </w:p>
    <w:p>
      <w:r>
        <w:rPr>
          <w:b/>
        </w:rPr>
        <w:t>E. 5.2</w:t>
      </w:r>
    </w:p>
    <w:p>
      <w:r>
        <w:t>B.________ a précisé aux débats d'appel qu'il acceptait de faire, le cas échéant, du travail d’intérêt général. Partant, c'est à ce type de peine qu'il doit être condamné. La journée de travail d'intérêt général comprenant 4 heures, la peine est arrêtée à 120 heures. Afin de tenir compte de l'absence de réparation, condition du sursis, la cour de céans érige en règle de conduite le versement de mensualités en remboursement du préjudice causé à la plaignante (art. 94 CP). II. Appel joint de B.________</w:t>
      </w:r>
    </w:p>
    <w:p>
      <w:r>
        <w:rPr>
          <w:b/>
        </w:rPr>
        <w:t>E. 6</w:t>
      </w:r>
    </w:p>
    <w:p>
      <w:r>
        <w:t>B.________ a conclu à l'allocation en sa faveur d'une indemnité au sens de l'art. 429 CPP. Plus précisément, il estime avoir droit à la réparation de son tort moral relatif à la détention préventive subie, par 6'600 fr. avec intérêt à 5% dès le 23 juillet 2010, et à la réparation du dommage économique subi en raison de sa détention préventive, par 2'494 fr., avec intérêt à 5% dès le 23 juillet 2010.</w:t>
      </w:r>
    </w:p>
    <w:p>
      <w:r>
        <w:rPr>
          <w:b/>
        </w:rPr>
        <w:t>E. 6.1</w:t>
      </w:r>
    </w:p>
    <w:p>
      <w:r>
        <w:t>Aux termes de l'art. 429 CPP, si le prévenu est acquitté totalement ou en partie ou s’il bénéficie d’une ordonnance de classement, il a notamment droit à une indemnité pour le dommage économique subi au titre de sa participation obligatoire à la procédure pénale (al. 1 lit. b), une réparation du tort moral subi en raison d’une atteinte particulièrement grave à sa personnalité, notamment en cas de privation de liberté (al. 1 lit. c). Conformément à l'art. 430 CPP, l’autorité pénale peut réduire ou refuser l’indemnité ou la réparation du tort moral notamment si le prévenu a provoqué illicitement et fautivement l’ouverture de la procédure ou a rendu plus difficile la conduite de celle-ci (al. 1 lit. a).</w:t>
      </w:r>
    </w:p>
    <w:p>
      <w:r>
        <w:rPr>
          <w:b/>
        </w:rPr>
        <w:t>E. 6.2</w:t>
      </w:r>
    </w:p>
    <w:p>
      <w:r>
        <w:t>En l'occurrence, la majoration de la condamnation ôte tout objet à l'appel joint portant sur l'indemnisation des 33 jours de détention préventive subis. Au surplus, la cour de céans faisant application de l'art. 430 CPP, est fondée à refuser toute réparation, B.________ ayant provoqué illicitement et fautivement l'ouverture de la procédure en participant à une expédition de vol.</w:t>
      </w:r>
    </w:p>
    <w:p>
      <w:r>
        <w:rPr>
          <w:b/>
        </w:rPr>
        <w:t>E. 7</w:t>
      </w:r>
    </w:p>
    <w:p>
      <w:r>
        <w:t>En définitive, l'appel du Ministère public est partiellement admis. Il n'y a pas lieu de revoir la condamnation partielle aux frais de première instance faute d'appel sur ce point. L'appel joint de B.________ est rejeté. Vu l'issue de la cause, les frais d'appel doivent être mis à la charge de B.________ (art. 428 al. 1 CPP). Outre l'émolument, par 1'910 fr., ces frais comprennent l'indemnité allouée à son défenseur d'office, par 1'178 fr.20 (mille cent septante huit francs et vingt centimes),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