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80 vom 14. November 2011</w:t>
      </w:r>
    </w:p>
    <w:p>
      <w:r>
        <w:t>VD Tribunal cantonal, 2011-11-14, FR</w:t>
      </w:r>
    </w:p>
    <w:p>
      <w:r>
        <w:rPr>
          <w:b/>
        </w:rPr>
        <w:t xml:space="preserve">Quelle: </w:t>
      </w:r>
      <w:r>
        <w:t>https://mcp.opencaselaw.ch/entscheid/vd_findinfo_Jug___2012___80</w:t>
      </w:r>
    </w:p>
    <w:p>
      <w:r>
        <w:t>FR: VD_FINDINFO Jug / 2012 / 80 du 14 novembre 2011</w:t>
      </w:r>
    </w:p>
    <w:p>
      <w:r>
        <w:t>IT: VD_FINDINFO Jug / 2012 / 80 del 14 novembre 2011</w:t>
      </w:r>
    </w:p>
    <w:p>
      <w:pPr>
        <w:pStyle w:val="Heading2"/>
      </w:pPr>
      <w:r>
        <w:t>Regeste</w:t>
      </w:r>
    </w:p>
    <w:p>
      <w:r>
        <w:t>PEINE D'ENSEMBLE, REFORMATIO IN PEJUS, PEINE PRIVATIVE DE LIBERTÉ, TRAVAIL D'INTÉRÊT GÉNÉRAL, LEX MITIOR | 37 CP, 40 CP, 46 al. 1 CP, 49 CP, 115 LEtr</w:t>
      </w:r>
    </w:p>
    <w:p>
      <w:pPr>
        <w:pStyle w:val="Heading2"/>
      </w:pPr>
      <w:r>
        <w:t>Erwägungen</w:t>
      </w:r>
    </w:p>
    <w:p>
      <w:r>
        <w:rPr>
          <w:b/>
        </w:rPr>
        <w:t>E. 1.1</w:t>
      </w:r>
    </w:p>
    <w:p>
      <w:r>
        <w:t>Interjeté dans les forme et délais légaux (cf. art. 399 CPP) contre le jugement d’un tribunal de première instance ayant clos la procédure (art. 398 al. 1 CPP), l’appel est recevable. Selon l'art. 399 al. 3 et 4 CPP, la déclaration d'appel doit être adressée à la juridiction d'appel dans les 20 jours et indiquer, de manière définitive, sur quelles parties du jugement porte l'appel. Ainsi, le jugement ayant été notifié le 14 novembre 2011, les écritures déposées par l'appelant après le 5 décembre 2011, soit les 12 et 17 janvier 2012, sont irrecevables. Les pièces transmises, après le 5 décembre 2011, par l'appelant sont toutefois recevables.</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Le dispositif du jugement du Tribunal de police d'arrondissement de Lausanne révoque le sursis accordé le 10 juillet 2009 par le Juge d'instruction de Lausanne.</w:t>
      </w:r>
    </w:p>
    <w:p>
      <w:r>
        <w:rPr>
          <w:b/>
        </w:rPr>
        <w:t>E. 2.1</w:t>
      </w:r>
    </w:p>
    <w:p>
      <w:r>
        <w:t>Le sursis peut être révoqué au sens de l'art. 46 CP uniquement pour les décisions entrées en force. Or, en vertu de l'art. 270 al. 1 CPP-VD, l'opposition a pour effet de transformer l'ordonnance de condamnation en ordonnance de renvoi. Il en résulte donc que la condamnation est mise à néant.</w:t>
      </w:r>
    </w:p>
    <w:p>
      <w:r>
        <w:rPr>
          <w:b/>
        </w:rPr>
        <w:t>E. 2.2</w:t>
      </w:r>
    </w:p>
    <w:p>
      <w:r>
        <w:t>En l'espèce, l'ordonnance du 10 juillet 2009 n'ayant pas été notifiée à A.________, comme l'a relevé, à juste titre, le Tribunal de première instance, celui-ci a manifesté son opposition à cette ordonnance lors de l'audience du 31 janvier 2011. Ainsi, l'ordonnance du 10 juillet 2009, transformée en ordonnance de renvoi, n'est pas entrée en force. Au vu des considérants du jugement, le premier juge a matériellement traité les oppositions aux deux ordonnances de condamnation. Par conséquent, le sursis à l'ordonnance du 10 juillet 2009 ne peut pas être révoqué. Il appartient donc à la cour de céans d'annuler d'office le chiffre II du dispositif du jugement dont est appel. La peine à infliger n'est donc pas une peine d'ensemble au sens de l'art. 46 al. 1 CP en suite de la révocation du sursis, mais une peine couvrant tout le comportement pénalement illicite visé par les deux ordonnances.</w:t>
      </w:r>
    </w:p>
    <w:p>
      <w:r>
        <w:rPr>
          <w:b/>
        </w:rPr>
        <w:t>E. 3</w:t>
      </w:r>
    </w:p>
    <w:p>
      <w:r>
        <w:t>L'appelant ne remet pas en cause le fait qu'il séjourne illégalement en Suisse. Il conteste la quotité de la peine infligée.</w:t>
      </w:r>
    </w:p>
    <w:p>
      <w:r>
        <w:rPr>
          <w:b/>
        </w:rPr>
        <w:t>E. 3.1</w:t>
      </w:r>
    </w:p>
    <w:p>
      <w:r>
        <w:t>Les dispositions régissant pénalement le séjour illégal pendant la période concernée par la présente affaire, soit entre 2002 et 2009, ont évolué et trois règles régissant la fixation de la peine ont successivement été applicables.</w:t>
      </w:r>
    </w:p>
    <w:p>
      <w:r>
        <w:rPr>
          <w:b/>
        </w:rPr>
        <w:t>E. 3.1.1</w:t>
      </w:r>
    </w:p>
    <w:p>
      <w:r>
        <w:t>Dans sa teneur en vigueur jusqu'au 31 décembre 2006, l'art. 23 al. 1 LSEE sanctionnait celui qui entre ou réside en Suisse illégalement de l'emprisonnement jusqu'à six mois, peine à laquelle pouvait s'ajouter une amende de 1'000 fr. au plus et seuls les cas de peu de gravité pouvaient être sanctionnés d'une amende seulement. Dans la teneur modifiée de cette disposition en vigueur dès le 1 er janvier 2007, cette infraction était sanctionnée d'une peine pécuniaire de 180 jours-amende au plus. Enfin, selon l'art. 115 al. 1 LEtr, en vigueur depuis le 1 er janvier 2008, quiconque séjourne illégalement en Suisse est puni d'une peine privative de liberté d'un an au plus ou d'une peine pécuniaire. En cas de modification d'une loi, selon le principe de l'application immédiate, chacune des lois (la loi ancienne et la loi nouvelle) s'applique dans son domaine. La maxime fondamentale est celle de la non-rétroactivité, qui veut que tout acte soit jugé d'après la loi en vigueur au moment où il a été commis (cf. art. 2 al. 1 CP). Le principe de la lex mitior consacré par l'art. 2 al. 2 CP constitue une exception à celui de la non-rétroactivité. Si cette disposition permet d'appliquer la loi nouvelle ou la loi ancienne à des faits antérieurs au changement de loi, elle ne permet en revanche pas de continuer à appliquer la loi ancienne postérieurement à son abrogation. Par ailleurs, le Tribunal fédéral a refusé d'appliquer à une répétition d'actes punissables commis après l'entrée en vigueur d'une loi plus sévère une loi antérieure plus clémente (ATF 72 IV 132; ATF 114 IV 1; SJ 1999 I 198; dans ce sens cf. CAPE, 31 août 2011, 105/2011). En matière de délit continu, la jurisprudence a précisé que le juge ne saurait appliquer à des faits relevant d'un délit continu tantôt un droit, tantôt un autre (ATF 114 IV 83 c. 3c, JT 1990 IV 43). Selon la doctrine, lorsqu'une loi entre en vigueur pendant l'exécution d'un délit continu, il convient de prendre en compte le nouveau droit uniquement (Dupuis/Geller/Monnier/Moreillon/Piguet/Bettex/Stoll, Petit commentaire, Code pénal, Bâle 2012, n. 19 ad art. 2 CP, p. 20; Gauthier, in Roth/Moreillon (éd.), Commentaire romand, Code pénal I, Bâle 2009, n. 17 ad art. 2 CP, p. 20). Le séjour illégal étant un délit continu, il n'est pas contraire à l'art. 2 CP de le sanctionner d'une peine privative de liberté lorsqu'il se poursuit, comme en l'espèce, au-delà du 1 er janvier 2008 (ATF 135 IV 6 c. 3, JT 2010 IV 61).</w:t>
      </w:r>
    </w:p>
    <w:p>
      <w:r>
        <w:rPr>
          <w:b/>
        </w:rPr>
        <w:t>E. 3.1.2</w:t>
      </w:r>
    </w:p>
    <w:p>
      <w:r>
        <w:t>A.________ est arrivé en Suisse en 2002 et n'a pas quitté le pays depuis, ce qu'il a confirmé à la cour de céans. Les faits objets de la présente cause relèvent donc d'un séjour illicite continu. La quotité de la peine dont est appel est concrètement limitée à 100 jours. Au vu de ce plafonnement inférieur à 6 mois, il n'est donc pas nécessaire de tenir compte de l'allongement des peines que consacre la LEtr par rapport à la LSEE. En tant qu'il introduit la peine pécuniaire et le travail d'intérêt général comme alternative à l'emprisonnement, le droit postérieur à l'entrée en vigueur de la modification de la partie générale du Code pénal est plus favorable que le droit antérieur au 1 er janvier 2007. Si pour le séjour illégal effectué durant l'année 2007, la LSEE imposant la peine pécuniaire et excluant la peine privative de liberté paraît plus favorable, la jurisprudence et la doctrine évoquées ci-dessus imposent toutefois l'application du droit contemporain, soit la LEtr. Par conséquent, comme l'a retenu à juste titre le premier juge, c'est la LEtr qui doit s'appliquer à la totalité du délit continu dont A.________ s'est rendu coupable.</w:t>
      </w:r>
    </w:p>
    <w:p>
      <w:r>
        <w:rPr>
          <w:b/>
        </w:rPr>
        <w:t>E. 3.2</w:t>
      </w:r>
    </w:p>
    <w:p>
      <w:r>
        <w:t>S'agissant de la problématique de la reformatio in pejus , le jugement du 31 janvier 2011, annulé le 1 er juin 2011 par le jugement de la Cour d'appel pénal, avait condamné A.________ à 75 jours de peine privative de liberté. Le jugement du 14 novembre 2011 dont est appel a porté cette sanction à 100 jours pour le motif que l'appelant se serait accroché "à son statut de séjournant illégal" (jugement du 14 novembre 2011, p. 6). Il convient par conséquent de déterminer si l'application de l'art. 409 CPP autorise une reformatio in pejus .</w:t>
      </w:r>
    </w:p>
    <w:p>
      <w:r>
        <w:rPr>
          <w:b/>
        </w:rPr>
        <w:t>E. 3.2.1</w:t>
      </w:r>
    </w:p>
    <w:p>
      <w:r>
        <w:t>Selon la doctrine, dans les cas d'application de l'art. 409 CPP, une peine plus sévère que celle du jugement annulé n'entre pas en ligne de compte. Une réserve est toutefois admise pour les faits nouveaux en référence à l'art. 391 al. 2 2 e phrase CPP (Kistler Vianin, in Kuhn/Jeanneret (éd.), Commentaire romand, Code de procédure pénale suisse, Bâle 2011, n. 14 ad art. 409 CPP, p. 1816; Eugster, in Niggli/Heer/Wiprächtiger (éd.), Basler Kommentar, Schweizerische Strafprozessordnung, Bâle 2011, n. 3 ad art. 409 CPP, p. 2689). La notion de faits nouveaux ne se limite pas à des faits constitutifs d'infraction; elle s'étend à tout fait susceptible d'avoir une incidence sur la fixation de la peine. Ainsi, les faits, les documents ou les preuves dont on n'a eu connaissance qu'après le premier jugement doivent pouvoir être utilisés, y compris au détriment du prévenu (ATF 86 IV 77; Message du Conseil fédéral, FF 2006 pp. 1057 ss, spéc. p. 1295; Schmid, Handbuch des Schweizerischen Strafprozessrechts, Zürich 2009, n. 1494).</w:t>
      </w:r>
    </w:p>
    <w:p>
      <w:r>
        <w:rPr>
          <w:b/>
        </w:rPr>
        <w:t>E. 3.2.2</w:t>
      </w:r>
    </w:p>
    <w:p>
      <w:r>
        <w:t>En l'espèce, A.________ est demeuré en Suisse sans interruption après les séjours illicites visés par les ordonnances. Cette persistance à enfreindre la loi constitue bien un fait nouveau justifiant la modification du premier jugement en défaveur du prévenu.</w:t>
      </w:r>
    </w:p>
    <w:p>
      <w:r>
        <w:rPr>
          <w:b/>
        </w:rPr>
        <w:t>E. 3.3</w:t>
      </w:r>
    </w:p>
    <w:p>
      <w:r>
        <w:t>Il convient désormais d'aborder la question de la fixation de la peine.</w:t>
      </w:r>
    </w:p>
    <w:p>
      <w:r>
        <w:rPr>
          <w:b/>
        </w:rPr>
        <w:t>E. 3.3.1</w:t>
      </w:r>
    </w:p>
    <w:p>
      <w:r>
        <w:t>La fixation de la peine est régie par l'art. 47 CP, qui correspond à l'art. 63 aCP et à la jurisprudence y relative qui garde donc sa valeur. Selon l'art. 50 CP, le juge doit motiver sa décision de manière suffisante. Sa motivation doit permettre de vérifier s'il a été tenu compte de tous les éléments pertinents et comment ils ont été appréciés (cf. ATF 134 IV 1 c. 4.2.1; ATF 128 IV 193 c. 3a).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En matière de délit continu, la prescription court dès le jour où les agissements coupables ont cessé (art. 98 let. c CP). Ainsi, le délai de prescription ne commence à courir qu'à compter de la commission de la dernière infraction (Favre/Pellet/Stoudmann, Code pénal annoté, 3 e éd., Lausanne 2007, n. 1.10 ad art. 98 CP, p. 287).</w:t>
      </w:r>
    </w:p>
    <w:p>
      <w:r>
        <w:rPr>
          <w:b/>
        </w:rPr>
        <w:t>E. 3.3.2</w:t>
      </w:r>
    </w:p>
    <w:p>
      <w:r>
        <w:t>En l'occurrence, l'infraction n'est pas prescrite dès lors que l'état contraire au droit existant depuis 2002 s'est poursuivi. En fixant, la peine à 100 jours, le premier juge a prononcé une peine particulièrement modérée au vu de l'importance de la culpabilité et de la durée de l'infraction. L'évidente insensibilité du prévenu à toute sanction et sa propension à la revendication, alors qu'il affiche avec constance son mépris des lois et des décisions qui les appliquent lorsque celles-ci ne servent pas ses intérêts, démontrent une forme d'endurcissement dans cette délinquance. De plus, l'appelant manifeste une agressivité déplacée à l'égard des membres d'autorités administratives ou pénales amenés à traiter sa cause. L'appelant se prévaut de la naissance de ses enfants en 2008 pour tenter d'en tirer un motif honorable, soit qu'il serait demeuré en Suisse par affection paternelle. En réalité, dans la conduite de l'appelant, on ne discerne aucun motif honorable au sens de l'art. 48 al. 1 let. a CP. Son comportement délictuel est en effet bien antérieur à la naissance de ses enfants. Lorsqu'il les a conçus, il connaissait l'illégalité de son statut et les difficultés relationnelles qui en découleraient si ses enfants allaient vivre en Suisse. Ses responsabilités paternelles devraient l'amener à se rendre dans un pays, par exemple le sien, où il pourrait travailler pour entretenir ses enfants. La procédure de régularisation qu'il invoque, outre qu'elle ne constitue pas en soi une circonstance atténuante, en est au stade du recours contre le refus d'une tolérance de séjour sur territoire vaudois. Au vu des éléments qui précèdent la quotité de la peine doit être confirmée.</w:t>
      </w:r>
    </w:p>
    <w:p>
      <w:r>
        <w:rPr>
          <w:b/>
        </w:rPr>
        <w:t>E. 4</w:t>
      </w:r>
    </w:p>
    <w:p>
      <w:r>
        <w:t>A.________ conteste le genre de peine, estimant qu'une peine pécuniaire ou qu'un travail d'intérêt général serait plus approprié dans son cas et qu'il devrait être mis au bénéfice du sursis. Il résulte de l'art. 41 al. 1 CP qu'une courte peine privative de liberté ne peut être prononcée qu'à deux conditions, soit lorsque l'octroi d'un sursis est exclu (art. 42 CP) et lorsqu'une autre peine est inexécutable.</w:t>
      </w:r>
    </w:p>
    <w:p>
      <w:r>
        <w:rPr>
          <w:b/>
        </w:rPr>
        <w:t>E. 4.1</w:t>
      </w:r>
    </w:p>
    <w:p>
      <w:r>
        <w:t>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6B_234/2010 du 4 janvier 2011 c. 4.1.1). En l'occurrence, vu la situation personnelle du prévenu qui ne bénéficie d'aucune autorisation de séjour et de travail en Suisse, un travail d'intérêt général n'entre pas en considération, l'intéressé pouvant se voir à tout moment expulsé de Suisse. Le fait qu'il aurait exécuté un travail d'intérêt général en Argovie d'après ses déclarations n'est pas déterminant. Son statut de séjournant illégal s'oppose déjà au prononcé d'un travail d'intérêt général (ATF 134 IV 60 c. 3.3; TF 6B_819/2008 du 26 décembre 2008, c. 2.3). Si, de jurisprudence constante (notamment ATF 134 IV 60 c. 5), une situation financière précaire, voire même une situation d'indigence, ne constitue pas un motif justifiant le refus d'une peine pécuniaire, des motifs de prévention spéciale permettent de considérer qu'une peine pécuniaire ou qu'un travail d'intérêt général sont inexécutables, en particulier lorsque le prévenu a démontré l'inutilité de telles peines et/ou une volonté de ne pas tenir compte des sanctions prononcées contre lui (TF 6B_128/2011 du 14 juin 2011). De tels motifs existent manifestement en l'espèce. En effet, l'appelant continue à affirmer qu'il restera en Suisse. En plus de cette détermination, ses antécédents et la durée prolongée de son infraction en dépit des interventions de police ou de justice montrent que rien n'a infléchi son comportement. Dans ces conditions, une peine pécuniaire et un travail d'intérêt général peuvent être exclus pour des motifs de prévention spéciale s'agissant d'un condamné qui présente une insensibilité à toute forme de sanction et qui doit par conséquent réaliser que ses récidives sont sanctionnées par des peines privatives de liberté.</w:t>
      </w:r>
    </w:p>
    <w:p>
      <w:r>
        <w:rPr>
          <w:b/>
        </w:rPr>
        <w:t>E. 4.2</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cf. également, sur tous ces points, TF 6B_541/2007 du 13 mai 2008, c.2.2 et la jurisprudence citée). En l'espèce, A.________ a déjà fait l'objet d'une condamnation pour les mêmes faits. Il a été condamné à 10 jours d'emprisonnement avec sursis. Celle-ci n'a eu aucun effet dès lors que l'intéressé a persisté dans son comportement illicite alors même que le sursis a été révoqué et qu'il a purgé ses 10 jours de détention. De même, une deuxième condamnation ferme à 3 jours d'emprisonnement pour violence ou menace contre les autorités et les fonctionnaires n'a pas amendé l'appelant. Ainsi, tant la perspective sérieuse de devoir exécuter une peine privative de liberté que l'exécution d'une peine privative de liberté n'ont eu absolument aucun effet dissuasif sur l'intéressé. En outre, celui-ci sait pertinemment depuis 2002, qu'il n'a pas le droit de demeurer sur territoire helvétique; il reconnaît pourtant ne pas avoir quitté le pays et s'obstine à y demeurer. Ces éléments montrent que le pronostic ne peut être que négatif. Ainsi, seule une peine ferme est à même de détourner l'appelant de poursuivre son séjour illicite. Le sursis ne saurait dès lors être accordé. Au vu de ce qui précède, c'est à juste titre que le premier juge a prononcé une courte peine privative de liberté ferme, les conditions de l'art. 41 al. 1 CP étant réalisées.</w:t>
      </w:r>
    </w:p>
    <w:p>
      <w:r>
        <w:rPr>
          <w:b/>
        </w:rPr>
        <w:t>E. 5</w:t>
      </w:r>
    </w:p>
    <w:p>
      <w:r>
        <w:t>En conclusion, l’appel est entièrement rejeté et le jugement attaqué confirmé. Vu l'issue de la cause, les frais d'appel, comprenant l'émolument par 1'940 fr. (art. 21 al. 1 et 2 TFJP [Tarif des frais judiciaires pénaux du 28 septembre 2010, RSV 312.03.1]), doivent être mis à la charge de A.________ (art. 428 al. 1 CPP). La Cour d’appel pénale appliquant les articles 115 al. 1 let. b LEtr, 41, 46 al. 1, 47, 49 al. 2, 51 CP et 398 ss CPP prononce : I. L’appel est rejeté. II. Le jugement rendu le 14 novembre 2011 par le Tribunal de police de l'arrondissement de Lausanne est toutefois modifié d’office au chiffre I et II de son dispositif, le dispositif du jugement étant désormais le suivant : " I. Condamne A.________ pour infraction à la LEtr à une peine privative de liberté de cent jours, sous déduction de vingt-trois jours de détention avant jugement, et au paiement des frais par 1'575 fr. 95 (mille cinq cent septante-cinq francs et nonante-cinq centimes); II. Supprimé." III. Les frais d'appel, par 1'940 fr. (mille neuf cent quarante francs) sont mis à la charge de A.________. Le président :              La greffière : Du 20 février 2012 Le dispositif du jugement qui précède est communiqué à l'appelant et aux autres intéressés. La greffière : Du Le jugement qui précède, dont la rédaction a été approuvée à huis clos, est notifié, par l'envoi d'une copie complète, à : - M. A.________, - Ministère public central, et communiqué à : ‑ M. le Président du Tribunal d'arrondissement de Lausanne, -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