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76 vom 20. Februar 2012</w:t>
      </w:r>
    </w:p>
    <w:p>
      <w:r>
        <w:t>VD Tribunal cantonal, 2012-02-20, FR</w:t>
      </w:r>
    </w:p>
    <w:p>
      <w:r>
        <w:rPr>
          <w:b/>
        </w:rPr>
        <w:t xml:space="preserve">Quelle: </w:t>
      </w:r>
      <w:r>
        <w:t>https://mcp.opencaselaw.ch/entscheid/vd_findinfo_Jug___2012___76</w:t>
      </w:r>
    </w:p>
    <w:p>
      <w:r>
        <w:t>FR: VD_FINDINFO Jug / 2012 / 76 du 20 février 2012</w:t>
      </w:r>
    </w:p>
    <w:p>
      <w:r>
        <w:t>IT: VD_FINDINFO Jug / 2012 / 76 del 20 febbraio 2012</w:t>
      </w:r>
    </w:p>
    <w:p>
      <w:pPr>
        <w:pStyle w:val="Heading2"/>
      </w:pPr>
      <w:r>
        <w:t>Regeste</w:t>
      </w:r>
    </w:p>
    <w:p>
      <w:r>
        <w:t>IN DUBIO PRO REO, VIOL, ACTE D'ORDRE SEXUEL AVEC UN ENFANT | 187 ch. 1 CP, 189 al. 1 CP, 190 al. 1 CP, 197 ch. 1 CP</w:t>
      </w:r>
    </w:p>
    <w:p>
      <w:pPr>
        <w:pStyle w:val="Heading2"/>
      </w:pPr>
      <w:r>
        <w:t>Erwägungen</w:t>
      </w:r>
    </w:p>
    <w:p>
      <w:r>
        <w:rPr>
          <w:b/>
        </w:rPr>
        <w:t>E. 4</w:t>
      </w:r>
    </w:p>
    <w:p>
      <w:r>
        <w:t>C.________ requiert le prononcé d'une peine compatible avec le sursis.</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En application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 sursis partiel est exclu si la peine privative de liberté dépasse trente-six mois (ATF 134 IV 1 c. 5.3.2).</w:t>
      </w:r>
    </w:p>
    <w:p>
      <w:r>
        <w:rPr>
          <w:b/>
        </w:rPr>
        <w:t>E. 4.2</w:t>
      </w:r>
    </w:p>
    <w:p>
      <w:r>
        <w:t>En tant que l'argumentation de l'appelant repose sur la prémisse d'une admission de ses premiers moyens, elle est vouée à l'échec. Pour le surplus, on relève que les premiers juges ont estimé que la culpabilité de C.________ est lourde et qu'il s'est enferré dans le déni. Ainsi, se présentant comme un père de substitution, il a exercé une maîtrise cruelle sur B.M.________ qu'il a fait vivre dans la brutalité de ses désirs et de ses actes, ceci alors même qu'il savait sa victime déjà fragilisée par un cancer et des carences affectives. Ils ont également retenu que les infractions reprochées sont graves et en concours. A décharge, les premiers juges ont tenu compte d'une légère diminution de sa responsabilité pénale (cf. jgt., p. 16). La cour de céans retient également que B.M.________ s'est retrouvée sans défense face à celui en qui elle avait – dans un premier temps - trouvé un confident (cf. pièce 53 p. 2), alors même que C.________ savait sa victime particulièrement vulnérable et sans défense, compte tenu de son état physique et psychique. Au vu de l’ensemble de ces éléments, la quotité de la peine prononcée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Supérieure à trois ans, cette peine est au surplus incompatible avec l'octroi du sursis. Ce moyen, mal fondé, doit être rejeté.</w:t>
      </w:r>
    </w:p>
    <w:p>
      <w:r>
        <w:rPr>
          <w:b/>
        </w:rPr>
        <w:t>E. 5</w:t>
      </w:r>
    </w:p>
    <w:p>
      <w:r>
        <w:t>L'appelant requiert que le montant alloué à la plaignante au titre de réparation du tort moral soit réduit.</w:t>
      </w:r>
    </w:p>
    <w:p>
      <w:r>
        <w:rPr>
          <w:b/>
        </w:rPr>
        <w:t>E. 5.1</w:t>
      </w:r>
    </w:p>
    <w:p>
      <w:r>
        <w:t>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 l'atteinte ou, plus exactement, de l'intensité des souffrances résultant de cette atteinte et de la possibilité d'adoucir de manière sensible la douleur morale du lésé par le versement d'une somme d'argent (ATF 125 III 269 c. 2a; ATF 118 II 410, c. 2a, rés. JT 1993 I 742 et les réf. cit.; voir aussi Hütte/Ducksch/Gross, Le tort moral, 3ème éd., Zurich 1996, I/66 a, ch. 7.5.2).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w:t>
      </w:r>
    </w:p>
    <w:p>
      <w:r>
        <w:rPr>
          <w:b/>
        </w:rPr>
        <w:t>E. 5.2</w:t>
      </w:r>
    </w:p>
    <w:p>
      <w:r>
        <w:t>En l'occurrence, les premiers juges ont pris en compte le fait que la plaignante souffre de carences affectives et de troubles psychiques. Fondés sur l'avis du psychologue qui suit  B.M.________, ils ont cependant retenu que les abus sexuels dont elle a souffert constituent une part importante de son mal être, des problèmes psycho-affectifs et sociaux graves qu'elle rencontre encore (cf. jgt., p. 17). Au vu de ce qui précède, les premiers juges n'ont pas excédé leur large pouvoir d'appréciation en fixant l'indemnité à 30'000 fr., montant qui paraît proportionné à la gravité de l'atteinte subie par B.M.________. Ce grief, mal fondé, doit être rejeté.</w:t>
      </w:r>
    </w:p>
    <w:p>
      <w:r>
        <w:rPr>
          <w:b/>
        </w:rPr>
        <w:t>E. 6</w:t>
      </w:r>
    </w:p>
    <w:p>
      <w:r>
        <w:t>En définitive, l'appel doit être rejeté et le jugement attaqué intégralement confirmé. Vu l'issue de la cause, les frais d'appel doivent être mis à la charge de C.________ (art. 428 al. 1 CPP). Outre l'émolument, par 2'570 fr., ces frais comprennent l’indemnité allouée à son défenseur d’office, par 3'071 fr. 50, TVA et débours compris, ainsi que l'indemnité allouée au conseil d'office de B.M.________ par 1'175 fr. 05, TVA comprise. C.________ ne sera tenu de rembourser à l’Etat le montant des indemnités en faveur de son défenseur d'office et du conseil d’office de la partie plaignante prévues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