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75 vom 10. Oktober 2011</w:t>
      </w:r>
    </w:p>
    <w:p>
      <w:r>
        <w:t>VD Tribunal cantonal, 2011-10-10, FR</w:t>
      </w:r>
    </w:p>
    <w:p>
      <w:r>
        <w:rPr>
          <w:b/>
        </w:rPr>
        <w:t xml:space="preserve">Quelle: </w:t>
      </w:r>
      <w:r>
        <w:t>https://mcp.opencaselaw.ch/entscheid/vd_findinfo_Jug___2012___75</w:t>
      </w:r>
    </w:p>
    <w:p>
      <w:r>
        <w:t>FR: VD_FINDINFO Jug / 2012 / 75 du 10 octobre 2011</w:t>
      </w:r>
    </w:p>
    <w:p>
      <w:r>
        <w:t>IT: VD_FINDINFO Jug / 2012 / 75 del 10 ottobre 2011</w:t>
      </w:r>
    </w:p>
    <w:p>
      <w:pPr>
        <w:pStyle w:val="Heading2"/>
      </w:pPr>
      <w:r>
        <w:t>Regeste</w:t>
      </w:r>
    </w:p>
    <w:p>
      <w:r>
        <w:t>DISPOSITIONS PÉNALES DE LA LSTUP, COMMERCE DE STUPÉFIANTS, FIXATION DE LA PEINE, SURSIS PARTIEL À L'EXÉCUTION DE LA PEINE | 43 CP, 47 CP, 19 al. 1 LStup, 19 ch. 2 let. a LStup</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En l’espèce, interjeté dans les formes et délais légaux par une partie ayant la qualité pour le faire (art. 382 al. 1 CPP) et contre un jugement d’un tribunal de première instance ayant clos la procédure (art. 398 al. 1 CPP), l'appel interjeté par A.I.________ est recevable. Il y a donc lieu d'entrer en matière sur le fond. S'agissant de l'appel joint, l'appelant s'est interrogé sur son éventuelle tardiveté . En l'occurrence, l'appel principal a été transmis au Ministère public, conformément à l'art. 400 al. 3 CPP, par courrier du 10 novembre 2011, reçu le 11 novembre 2011. Envoyé le 1 er décembre 2011, l'appel joint a été formé en temps utile. Pour le surplus, il a été interjeté dans les formes légales, par une partie ayant la qualité pour le faire (art. 381 al. 1 CPP) et contre un jugement d’un tribunal de première instance ayant clos la procédure (art. 398 al. 1 CPP), l'appel joint est recevable et il convient également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A.I.________ reproche aux premiers juges une constatation erronée des faits relativement à l'ampleur du trafic retenu contre lui.</w:t>
      </w:r>
    </w:p>
    <w:p>
      <w:r>
        <w:rPr>
          <w:b/>
        </w:rPr>
        <w:t>E. 3.1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En l'espèce, A.I.________ estime que les premiers juges ne pouvaient pas retenir que le trafic auquel il s'est livré a porté sur un minimum de 180 grammes de cocaïne, soutenant que les indices sont insuffisants et les déclarations de A.________ qui le mettent en cause sont à prendre avec prudence, s'agissant d'un trafiquant qui a lui aussi partiellement menti sur son activité délictueuse. L'appelant estime que les premiers juges ne pouvaient aller au-delà de cette mise en cause, à savoir une livraison totale de 70 à 80 grammes. Les premiers juges ont tout d'abord fondé leur conviction sur l'état de fait du jugement rendu le 21 février 2011 par le Tribunal correctionnel de l'arrondissement de Lausanne (P. 49) qui a condamné A.________ pour infraction grave à la LStup (loi fédérale sur les stupéfiants et les substances psychotropes du 3 octobre 1951; RS 812.121) notamment. Selon ce jugement, A.________ a vendu, en dépit de ses dénégations, 1'487 grammes de cocaïne dans la région lausannoise. La drogue provenait toujours d'A.I.________. Ce jugement a été confirmé par la Cour de céans le 27 juin 2011 (versé au dossier). Il ne sert à rien à l'appelant de se réclamer de la mise en cause de A.________, trafiquant dont il a été dit à son propos qu'il n'y avait lieu d'accorder aucun crédit aux dénégations et aux aveux minimalistes (P. 49, p. 17). Ce premier indice est conforme aux pièces du dossier et permettait aux premiers juges d'aller au-delà de la mise en cause de A.________. Le deuxième indice relevé par les premiers juges réside dans les centaines de contacts (sms) révélés par l'enquête. Là encore, des centaines de contacts ne s'expliquent pas par un trafic de quelques dizaines de grammes seulement entre un fournisseur et un revendeur. S'agissant de l'ampleur du trafic proprement dit, les premiers juges s'en sont néanmoins tenus aux déclarations de A.________ qui a admis que l'appelant lui avait livré durant 4 mois (16 semaines) 10 grammes de cocaïne par semaine, ce qui donne 160 grammes, non pas 70 ou 80 grammes comme le soutient l'appelant, auxquels il y a effectivement lieu d'ajouter les 19,9 grammes de cocaïnes qui ont pu faire l'objet d'une saisie, ce qui donne 179,9 grammes, arrondis à 180 grammes. Il s'agit en réalité d'un chiffre extrêmement favorable à l'appelant puisqu'il aurait été parfaitement admissible de soutenir qu'il y avait eu des livraisons à 10 grammes et d'autres à 20 grammes, soit une moyenne de 15 grammes. En conclusion, la motivation des premiers juges à l'appui de leur conviction n'est ni incomplète, ni erronée et ne procède pas davantage, de façon plus générale d'une appréciation arbitraire des preuves.</w:t>
      </w:r>
    </w:p>
    <w:p>
      <w:r>
        <w:rPr>
          <w:b/>
        </w:rPr>
        <w:t>E. 3.2.1</w:t>
      </w:r>
    </w:p>
    <w:p>
      <w:r>
        <w:t>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3.3</w:t>
      </w:r>
    </w:p>
    <w:p>
      <w:r>
        <w:t>Le grief soulevé par l'appelant, mal fondé, doit être rejeté.</w:t>
      </w:r>
    </w:p>
    <w:p>
      <w:r>
        <w:rPr>
          <w:b/>
        </w:rPr>
        <w:t>E. 4</w:t>
      </w:r>
    </w:p>
    <w:p>
      <w:r>
        <w:t>A.I.________ considère que, même en retenant un trafic d'une telle ampleur, une peine de deux ans paraît arbitrairement sévère, notamment en comparaison avec celle infligée à A.________.</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131 IV 202 c. 2d/cc). L'étendue du trafic entrera également en considération. Un trafic purement local sera en règle générale considéré comme moins grave qu'un trafic avec des ramifications internationales. S'agissant d'apprécier les mobiles qui ont poussé l'auteur à agir, le juge doit distinguer le cas de celui qui est lui-même toxicomane et agit pour financer sa propre consommation de celui qui participe à un trafic uniquement poussé par l'appât du gain (arrêt 969/2010 du 31 mars 2011 c. 3.1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w:t>
      </w:r>
    </w:p>
    <w:p>
      <w:r>
        <w:rPr>
          <w:b/>
        </w:rPr>
        <w:t>E. 4.2</w:t>
      </w:r>
    </w:p>
    <w:p>
      <w:r>
        <w:t>En l'espèce, la comparaison des peines entre celle infligée à A.________ et celle infligée à l'appelant n'est pas pertinente. On ne peut, comme le fait l'appelant, se livrer à une proportion "quantité de drogue trafiquée – sanction " pour déduire que la peine qui lui a été infligée par rapport à son comparse procède d'un abus du pouvoir d'appréciation. Le poids de la drogue n'est pas le seul critère d'appréciation et perd de l'importance au fur et à mesure que l'on s'éloigne de la limite à partir de laquelle le cas doit être considéré comme grave. En outre, la comparaison entre des affaires différentes est souvent stérile compte tenu des nombreux paramètres qui interviennent dans la fixation de la peine (ATF 116 IV 292); et le principe de la légalité prévaut sur celui de l'égalité (cf. ATF 122 II 446 c. 4a). Il faut au contraire se demander si cette peine est excessive. A cet égard, la quantité de drogue trafiquée est importante. L'activité délictueuse d'A.I.________ s'est déroulée sur plusieurs mois et doit être qualifiée d'intense, ne serait-ce que par référence aux centaines de sms qu'a révélé l'enquête. Le mobile répond à celui de l'appât du gain. Les dénégations de l'appelant ont été majeures. Il a déjà été condamné par le passé et n'a pas l'explication du déracinement, s'agissant d'un trafiquant installé au bénéfice d'un permis B dans notre pays. Au surplus, il n'a aucune activité et vit aux crochets de son épouse.</w:t>
      </w:r>
    </w:p>
    <w:p>
      <w:r>
        <w:rPr>
          <w:b/>
        </w:rPr>
        <w:t>E. 4.3</w:t>
      </w:r>
    </w:p>
    <w:p>
      <w:r>
        <w:t>L'appelant reproche également aux premiers juges d'avoir pris en compte sa collaboration limitée dans le cadre de la fixation de la peine, ce qui est contraire au droit du prévenu de ne pas collaborer à la procédure prévu par l'art. 113 al. 1 CPP. En l'occurrence, les premiers juges ont expressément relevé que l'appelant avait le droit de nier l'évidence (jgt., p. 6). Cela étant, le comportement après la commission de l'infraction et au cours de la procédure est un élément d'appréciation pour la fixation de la peine (Favre, Pellet, Stoudmann, Code pénal annoté, 3 ème édition remaniée, Lausanne 2011, n. 1.2 ad art. 47 CP). Les premiers juges n'ont donc pas fixé la peine sur un critère étranger à l'art. 47 CP en relevant son manque de collaboration et une attitude quelque peu arrogante (jgt., p. 7).</w:t>
      </w:r>
    </w:p>
    <w:p>
      <w:r>
        <w:rPr>
          <w:b/>
        </w:rPr>
        <w:t>E. 4.5</w:t>
      </w:r>
    </w:p>
    <w:p>
      <w:r>
        <w:t>Fondé sur ce qui précède, les premiers juges n'ont pas violé la loi en fixant la peine d'A.I.________. A défaut de tout élément à décharge, la peine privative de liberté de deux ans ne procède pas d'un abus du pouvoir d'appréciation. Mal fondé, le grief de l'appelant doit être rejeté.</w:t>
      </w:r>
    </w:p>
    <w:p>
      <w:r>
        <w:rPr>
          <w:b/>
        </w:rPr>
        <w:t>E. 5</w:t>
      </w:r>
    </w:p>
    <w:p>
      <w:r>
        <w:t>A.I.________ reproche aux premiers juges de ne pas lui avoir octroyé le sursis.</w:t>
      </w:r>
    </w:p>
    <w:p>
      <w:r>
        <w:rPr>
          <w:b/>
        </w:rPr>
        <w:t>E. 5.1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w:t>
      </w:r>
    </w:p>
    <w:p>
      <w:r>
        <w:rPr>
          <w:b/>
        </w:rPr>
        <w:t>E. 5.2</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arrêts 6B_664/2007 du 18 janvier 2008 c. 3.2.1; 6B_353/2008 du 30 mai 2008 c. 2.3).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En effet, s'il n'existe aucune perspective que l'auteur puisse être influencé de quelque manière par un sursis complet ou partiel, la peine doit être entièrement exécutée (ATF 134 IV 1 précité, c. 5.3.1).</w:t>
      </w:r>
    </w:p>
    <w:p>
      <w:r>
        <w:rPr>
          <w:b/>
        </w:rPr>
        <w:t>E. 5.3</w:t>
      </w:r>
    </w:p>
    <w:p>
      <w:r>
        <w:t>En l'espèce, la peine infligée à A.I.________ est compatible avec l'octroi d'un sursis total ou partiel. Le Ministère public avait conclu au sursis partiel lors des débats de première instance, requérant toutefois une peine privative de liberté de 30 mois. L'appelant n'exerce aucune activité lucrative alors qu'il n'a aucun empêchement de travailler. Il a totalement rejeté l'incrimination pénale, exception faite évidemment de l'épisode où il a été pris en flagrant délit. A juste titre, les premiers juges ont relevé que c'est l'arrestation de l'appelant qui a mis fin à son activité délictueuse. Ce dernier a déjà été condamné le 11 juillet 2005 à une peine privative de liberté avec sursis, puis le 19 juillet 2007 à des jours-amende. Certes, les condamnations ne sont pas lourdes, mais elles dénotent néanmoins une insensibilité certaine à la sanction pénale. Les quelque deux mois passés en détention préventive pour les besoins de la présente cause n'ont nullement fait réfléchir l'appelant qui s'est présenté à l'audience de première instance comme une personne arrogante et niant l'évidence (jgt., p. 6). Toutefois, l'appelant a travaillé par le passé et à satisfaction de ses employeurs (P. 65/2, 65/3, 65/4 et 64/5). Il bénéficie du soutien de son épouse avec qui il s'entretient chaque semaine par téléphone. Cette dernière a dit de l'appelant qu'il était un bon mari. Au vu de ce qui précède, la Cour de céans partage l'avis du Ministère public quant à l'octroi du sursis partiel et estime que l'exécution d'une partie de la peine privative de liberté est de nature à constituer un choc pour l'appelant ayant pour effet de le détourner de la commission d'autres infractions. Le pronostic n'apparaissant dès lors pas complètement défavorable grâce à l'exécution d'une partie de la peine privative de liberté, celle-ci peut être assortie d'un sursis partiel.</w:t>
      </w:r>
    </w:p>
    <w:p>
      <w:r>
        <w:rPr>
          <w:b/>
        </w:rPr>
        <w:t>E. 5.4</w:t>
      </w:r>
    </w:p>
    <w:p>
      <w:r>
        <w:t>Compte tenu de ce qui précède, l'appel interjeté par A.I.________ est partiellement admis.</w:t>
      </w:r>
    </w:p>
    <w:p>
      <w:r>
        <w:rPr>
          <w:b/>
        </w:rPr>
        <w:t>E. 6</w:t>
      </w:r>
    </w:p>
    <w:p>
      <w:r>
        <w:t>S'agissant enfin de l'appel joint, le Ministère public critique la peine infligée à A.I.________ qu'il juge trop clémente et conclut à une peine privative de liberté de 30 mois. Conformément à l'art. 398 al. 3 let. a CPP, l'appelant peut invoquer une violation du droit ou un abus du pouvoir d'appréciation. La fixation de la peine est régie par l'art. 47 CP (cf. chiffre 4.1 ci-dessus) et est essentiellement l'affaire du premier juge, la Cour de céans n'intervenant qu'avec retenue puisqu'il faut démontrer, en l'absence d'une violation de la loi, un abus du pouvoir d'appréciation. A cet égard, le Ministère public ne prétend pas que les premiers juges se soient laissés guider par des éléments externes à l'art. 47 CP pour fixer une peine qu'il juge trop clémente. Si la peine est certes clémente, elle ne procède pas d'un abus du pouvoir d'appréciation. En conséquence, le grief du Ministère public, mal fondé, doit être rejeté.</w:t>
      </w:r>
    </w:p>
    <w:p>
      <w:r>
        <w:rPr>
          <w:b/>
        </w:rPr>
        <w:t>E. 7</w:t>
      </w:r>
    </w:p>
    <w:p>
      <w:r>
        <w:t>Au vu de ce qui précède, l'appel interjeté par A.I.________ doit être partiellement admis, tandis que l'appel joint du Ministère public doit être rejeté. Vu l'issue de la cause, les frais d'appel, y compris l'indemnité allouée au défenseur d'office de l'appelant, doivent être mis pour moitié à charge de ce dernier,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