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69 vom 4. September 1984</w:t>
      </w:r>
    </w:p>
    <w:p>
      <w:r>
        <w:t>VD Tribunal cantonal, 1984-09-04, FR</w:t>
      </w:r>
    </w:p>
    <w:p>
      <w:r>
        <w:rPr>
          <w:b/>
        </w:rPr>
        <w:t xml:space="preserve">Quelle: </w:t>
      </w:r>
      <w:r>
        <w:t>https://mcp.opencaselaw.ch/entscheid/vd_findinfo_Jug___2012___69</w:t>
      </w:r>
    </w:p>
    <w:p>
      <w:r>
        <w:t>FR: VD_FINDINFO Jug / 2012 / 69 du 4 septembre 1984</w:t>
      </w:r>
    </w:p>
    <w:p>
      <w:r>
        <w:t>IT: VD_FINDINFO Jug / 2012 / 69 del 4 settembre 1984</w:t>
      </w:r>
    </w:p>
    <w:p>
      <w:pPr>
        <w:pStyle w:val="Heading2"/>
      </w:pPr>
      <w:r>
        <w:t>Regeste</w:t>
      </w:r>
    </w:p>
    <w:p>
      <w:r>
        <w:t>UTILISATION FRAUDULEUSE D'UN ORDINATEUR, TENTATIVE{DROIT PÉNAL}, VOL{DROIT PÉNAL}, CONDUITE EN ÉTAT D'IVRESSE, RETRAIT DE PERMIS, RÉVOCATION DU SURSIS, LOI FÉDÉRALE SUR LES STUPÉFIANTS ET LES SUBSTANCES PSYCHOTROPES | 139 ch. 1 CP, 147 CP, 22 CP, 33 CP, 34 CP, 36 CP, 47 CP, 49 CP, 69 CP, 95 ch. 2 LCR, 19a ch. 1 LStup</w:t>
      </w:r>
    </w:p>
    <w:p>
      <w:pPr>
        <w:pStyle w:val="Heading2"/>
      </w:pPr>
      <w:r>
        <w:t>Erwägungen</w:t>
      </w:r>
    </w:p>
    <w:p>
      <w:r>
        <w:rPr>
          <w:b/>
        </w:rPr>
        <w:t>E. 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w:t>
      </w:r>
    </w:p>
    <w:p>
      <w:r>
        <w:rPr>
          <w:b/>
        </w:rPr>
        <w:t>E. 3</w:t>
      </w:r>
    </w:p>
    <w:p>
      <w:r>
        <w:t>L’appelant conteste être l’auteur des retraits d’argent litigieux. Il prétend que les premiers juges ont procédé à une appréciation arbitraire des faits en établissant un lien entre son arrivée chez le plaignant en décembre 2008 et les retraits litigieux en mars et avril 2009. Le tribunal aurait également erré en considérant, sans fondement, que les prélèvements incriminés lui avaient permis de financer sa consommation de haschisch, de cocaïne et d’alcool.</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 présomption d’innocence, qui est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66_831/2009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la 31 c. 2c; TF 66 831/2009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En l’espèce, les premiers juges ont longuement exposé pour quels motifs ils avaient écarté la version des faits du prévenu pour retenir qu’il est l’auteur des retraits litigieux (cf. jugement p. 25-26). Certes, comme l’appelant l’affirme, les prélèvements n’ont pas commencé à son arrivée dans l’appartement et il n’est pas établi que lors de ceux-ci sa consommation de stupéfiants ou d’alcool était importante. Mais il n’en demeure pas moins que les autres éléments du dossier établissent qu’il a prélevé ces montants à l’insu du plaignant. En particulier les déclarations de celui-ci, contenues dans sa plainte du 8 avril 2009, et les circonstances du dépôt de celle-ci emportent la conviction. Il en ressort que G.________ et D.________ étaient collègues de travail. Du 19 décembre 2008 au 5 avril 2009, ce dernier a accueilli chez lui le prévenu. Il lui a remis les clés de son logis. Il lui a prêté de l’argent ainsi que sa voiture. En février 2009, D.________ s’était vu retirer son permis de conduire et souffrait de dépression. Il a alors confié sa carte bancaire, ainsi que son code NIP au prévenu, pour qu’il aille lui acheter des victuailles. G.________ a confirmé ces faits en précisant qu’il avait notamment acheté du pastis pour le plaignant. Le 7 avril 2009, D.________ a reçu son relevé de compte bancaire du mois précédent. En contrôlant les mouvements du compte, il a constaté que des prélèvements avaient été effectués à son insu. Il a aussitôt avisé la police et fait bloquer la carte. Une patrouille s’est rendue à son domicile. Après investigation, la police lui a appris que deux autres prélèvements avaient eu lieu, le premier de 900 fr. le 2 avril 2009 à [...]) et le second de 1'000 fr. le 3 avril 2009 à [...]. Il a déposé plainte le jour suivant. Il n’est pas possible que le plaignant ait oublié, le 7 avril 2009, avoir prélevé 1'900 fr. quelques jours plus tôt, dans des villes où il n’avait pas l’habitude de se rendre pour retirer de l’argent, et pendant une période où il n’avait pas de permis de conduire. En outre, seuls les retraits effectués en fin de journée (entre 19 h 13 et 21 h 29; pièces no 4 et 8) ont été imputés au prévenu, soit aux heures où celui-ci ne se trouvait plus sur son lieu de travail (procès-verbal, pp. 7 et 11). Au demeurant, le plaignant a spontanément admis à l’audience être l’auteur du retrait de 200 fr. effectué le 2 mars 2009 à 15 h 09. Enfin, D.________ n’a jamais fait preuve d’agressivité ou de ressentiment à l’égard de G.________. Contrairement à ce que soutient le prévenu, le plaignant ne l’a pas dénoncé pour se venger d’avoir été éconduit. S’il est vrai que D.________ a été touché par le manque de répondant de G.________, il n’en a pas pour autant gardé rancoeur. Aux débats de première instance, il a indiqué de manière constante qu’il considérait le prévenu comme un ami et qu’il ne souhaitait pas l’accabler; il a retiré sa plainte. Il a du reste persisté à envoyer des SMS amicaux au prévenu, même après que celui-ci a quitté l’appartement. Il a également continué à lui prêter sa voiture. C’est d’ailleurs avec le véhicule de D.________ que le prévenu a été arrêté le 23 juillet 2009. G.________ avait connaissance du code NIP. D’une part, D.________ lui l’avait donné, d’autre part, il était facile au prévenu d’en prendre connaissance, puisque le plaignant l’avait inscrit sur un document se trouvant sur la table de la cuisine (procès-verbal, p. 7). Le prévenu a d’ailleurs confirmé avoir vu un document sur la table à manger avec des inscriptions à l’intérieur (procès-verbal, p. 10). Ensuite, seul le prévenu et une voisine avaient les clés de l’appartement de D.________, donc accès à la carte bancaire et au code de cette carte. Aucun élément au dossier ne permet d’accabler la voisine, qui n’avait d’ailleurs pas accès à l’appartement durant la nuit (procès-verbal, p.7). Ainsi, c’est à juste titre que les premiers juges ont considéré que les déclarations de D.________ étaient crédibles en dépit de quelques imprécisions, le plaignant ayant notamment confondu les villages de [...] et [...]</w:t>
      </w:r>
    </w:p>
    <w:p>
      <w:r>
        <w:rPr>
          <w:b/>
        </w:rPr>
        <w:t>E. 3.3</w:t>
      </w:r>
    </w:p>
    <w:p>
      <w:r>
        <w:t>Vu ce qui précède, il sied de retenir, avec les premiers juges, que le prévenu est bien l’auteur des retraits incriminés. C’est en outre de manière conforme au droit fédéral que l’appelant a été reconnu coupable d’utilisation frauduleuse d’un ordinateur au sens de l’art. 147 al. 1 CP.</w:t>
      </w:r>
    </w:p>
    <w:p>
      <w:r>
        <w:rPr>
          <w:b/>
        </w:rPr>
        <w:t>E. 4</w:t>
      </w:r>
    </w:p>
    <w:p>
      <w:r>
        <w:t>Dans un deuxième moyen, l'appelant conteste s'être rendu coupable de tentative de vol. Il reproche aux premiers juges d'avoir tenu pour décisives les déclarations des témoins R.________ et P.________, lesquelles ne suffiraient pas à établir les faits reprochés.</w:t>
      </w:r>
    </w:p>
    <w:p>
      <w:r>
        <w:rPr>
          <w:b/>
        </w:rPr>
        <w:t>E. 4.1</w:t>
      </w:r>
    </w:p>
    <w:p>
      <w:r>
        <w:t>L'appelant a été condamné pour s’être introduit par effraction dans l’appartement de Q.________ en vue d'y commettre un vol. Q.________ était absent au moment des faits et il a retiré sa plainte en audience. Rien ne lui a été volé. Il suppose que ce sont ses voisins du 1 er étage - des gens de couleur - qui, alertés par le bruit, sont intervenus et ont arrêté le voleur (procès-verbal, p. 4). D'après le rapport préalable du 3 mai 2009 (pièce no 4 du dossier Q.________), la police est intervenue ce jour-là pour une bagarre entre le prévenu et deux individus, à la rue de Savoie no 11 à [...] à 22 h 45. Les policiers ont fouillé l'intéressé et ont trouvé 2,2 grammes d'herba cannabis sur lui. Ils ont interrogé P.________ et R.________, ressortissants cap-verdiens, qui ont indiqué avoir surpris le prévenu dans l’appartement de Q.________. Ils l’auraient alors poursuivi et arrêté. La police s'est rendue sur les lieux pour constater que la porte d'entrée avait été forcée et qu'il y avait des traces de fouille. Les meubles avaient été déplacés et les tiroirs étaient ouverts. Ils ont emmené G.________ au poste pour l'interroger. Celui-ci leur a expliqué qu'il voulait acheter de la cocaïne à un certain " [...]". Comme ce dernier n'en avait pas, il l'avait  envoyé à la rue de Savoie no 11. A cet endroit, P.________ et R.________ lui avaient vendu une boulette de cocaïne. Puis pour une raison inconnue, ils l'avaient poursuivi pour le tabasser. Lors de sa fuite, G.________ avait jeté sa boulette dans une bouche d'égout, à proximité. Entendu par le juge d'instruction le 17 septembre 2009 (pièce no 2), G.________ a indiqué : "[…]Je conteste avoir cambriolé l'appartement en question. J'ai voulu acheter une boulette à un dénommé [...] Ce denier m'a dit de passer dans une petite ruelle à côté de la Migros. A cet endroit, j'ai rencontré deux types. Je leur ai acheté une boulette de cocaïne. Au moment de quitter les lieux, ils m'ont sauté dessus en me reprochant d'avoir cambriolé un appartement. Ils m'ont tapé dessus pour m'empêcher de partir et ils m'ont dit qu'ils appelleraient la police. Sachant que les forces de l'ordre viendraient, je me suis débarrassé de la boulette dans une bouche d'égout […]." Aux débats de première instance, le prévenu a indiqué qu'il devait voir P.________ et R.________ pour leur acheter de la cocaïne. Il s'était rendu dans l'impasse, et les deux hommes prénommés lui avaient sauté dessus en lui reprochant d’avoir cambriolé un appartement et en lui disant qu’ils allaient appeler la police. Ils l'avaient jeté à terre et frappé. C'était la première fois qu'il voyait ces deux hommes, à qui il voulait acheter de la drogue. Il n'avait pas eu le temps de le faire. Un cambriolage avait eu lieu ce soir-là dans l'appartement de Q.________ et on voulait "[…].lui faire porter le chapeau.[…]." (procès-verbal, p. 12).</w:t>
      </w:r>
    </w:p>
    <w:p>
      <w:r>
        <w:rPr>
          <w:b/>
        </w:rPr>
        <w:t>E. 4.2</w:t>
      </w:r>
    </w:p>
    <w:p>
      <w:r>
        <w:t>Les déclarations du prévenu exposées ci-dessus ne sont pas crédibles. Elles paraissent fantaisistes. En effet, si P.________ et R.________ étaient des trafiquants de drogue, on voit mal ce qui les aurait incités à porter des accusations contre le prévenu et, surtout, à appeler la police, au risque de se faire eux-mêmes appréhender. En outre, si le prévenu était réellement venu acheter de la cocaïne, on se demande pourquoi il aurait jeté sa boulette de cocaïne tout en gardant le cannabis retrouvé sur lui lors de la fouille. De plus, les indications données par P.________ et R.________ à la gendarmerie ont permis aux agents de constater qu'il y avait eu tentative de vol dans l’appartement de Q.________. Enfin, le fait que ces deux témoins n'aient pas été retrouvés par la police par la suite et qu'ils semblent avoir été de passage en Suisse, qu'ils n'ont ainsi pas pu être réentendus et qu'ils ont procédé à une intervention musclée ne suffit pas à rendre crédible la version des faits du prévenu qui est entachée d'invraisemblance.</w:t>
      </w:r>
    </w:p>
    <w:p>
      <w:r>
        <w:rPr>
          <w:b/>
        </w:rPr>
        <w:t>E. 4.3</w:t>
      </w:r>
    </w:p>
    <w:p>
      <w:r>
        <w:t>En définitive, et contrairement à ce que plaide en vain l'appelant, c'est à juste titre que le tribunal a tenu pour déterminantes les déclarations d'P.________ et R.________. Sur cette base, c'est également de manière conforme au droit que G.________ doit être reconnu coupable de tentative de vol au sens des art. 22 al. 1 et 139 ch. 1 CP et qu'au vu du retrait de plainte intervenu aux débats de première instance, il a été libéré des chefs d’accusation de dommages à la propriété au sens de l’art. 144 al. 1 CP et de violation de domicile au sens de l’art. 186 CP.</w:t>
      </w:r>
    </w:p>
    <w:p>
      <w:r>
        <w:rPr>
          <w:b/>
        </w:rPr>
        <w:t>E. 4.4</w:t>
      </w:r>
    </w:p>
    <w:p>
      <w:r>
        <w:t>En définitive, tous les chefs d'accusation retenus contre le recourant doivent être confirmés.</w:t>
      </w:r>
    </w:p>
    <w:p>
      <w:r>
        <w:rPr>
          <w:b/>
        </w:rPr>
        <w:t>E. 5</w:t>
      </w:r>
    </w:p>
    <w:p>
      <w:r>
        <w:t>Il convient d'examiner la peine infligée à G.________.</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critères correspondent à ceux développés par la jurisprudence relative à l'art. 63 aCP, à laquelle on peut se référer. Le juge dispose d'un large pouvoir d'appréciation dans la fixation de la peine (ATF 134 IV 17 c. 2.1 p. 19).</w:t>
      </w:r>
    </w:p>
    <w:p>
      <w:r>
        <w:rPr>
          <w:b/>
        </w:rPr>
        <w:t>E. 5.2</w:t>
      </w:r>
    </w:p>
    <w:p>
      <w:r>
        <w:t>En l'espèce l’appelant ne conteste pas la peine prononcée (180 jours-amende à 20 fr. le jour). Celle-ci tient correctement compte des infractions commises, de la culpabilité de l’appelant et de sa situation personnelle. L'autorité de première instance n'a ignoré aucun des critères déterminants consacrés à l’art. 47 CP. La peine sera donc confirmée. La quotité du jour-amende n'est pas remise en cause et elle ne saurait être revue en défaveur de l'appelant (art. 404 al. 1 et 2 CPP). Fixée à 20 fr. le jour, elle est, au demeurant, faible si l'on tient compte de son salaire net au moment du jugement et de ses charges déterminantes.</w:t>
      </w:r>
    </w:p>
    <w:p>
      <w:r>
        <w:rPr>
          <w:b/>
        </w:rPr>
        <w:t>E. 6.1</w:t>
      </w:r>
    </w:p>
    <w:p>
      <w:r>
        <w:t>Il reste à examiner si c'est à juste titre que le tribunal a ordonné la révocation du sursis à la peine de 18 mois prononcée le 3 juin 2004 et l'exécution de celle-ci. 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II peut adresser au condamné un avertissement et prolonger le délai d’épreuve de la moitié au plus de la durée fixée dans le jugement.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 4.4 et les arrêts cités in TF 6B_855/2010 du 7 avril 2011, c. 2.1).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par l’effet de choc et d’avertissement (Schock-und Warnungswirkung) issu de la condamnation précédente, y compris en ce qui concerne l’aménagement ultérieur de la vie de l’intéressé, conduire à nier l’existence d’un pronostic défavorable pour la nouvelle peine et, partant, à assortir cette dernière du sursis (ATF 134 IV 140 c. 4.5 p. 144, spéc. 147 ss).</w:t>
      </w:r>
    </w:p>
    <w:p>
      <w:r>
        <w:rPr>
          <w:b/>
        </w:rPr>
        <w:t>E. 6.2</w:t>
      </w:r>
    </w:p>
    <w:p>
      <w:r>
        <w:t>A juste titre, le tribunal a posé un diagnostic défavorable s’agissant de la nouvelle peine prononcée (180 jours-amendes à 20 fr.). L’appelant ne conteste, au demeurant, pas le fait que cette peine soit ferme. Le prévenu a été condamné, le 3 juin 2004, à 18 mois avec sursis. Ce sursis n’a pas été révoqué le 17 mars 2006, le 6 septembre 2006 et le 21 décembre 2007. Il a été prolongé de deux ans le 22 octobre 2008. Les faits jugés le 29 novembre 2011 se sont déroulés en mars, avril et mai 2009, soit juste après que ce sursis a été prolongé et que le prévenu a purgé des peines d’emprisonnement, de jours-amendes et de travail d’intérêt général. Toutes ces peines n’ont visiblement eu aucun effet sur lui ou du moins, un effet insuffisant. La nouvelle peine prononcée (180 jours-amende à 20 fr.), même si elle est ferme, ne saurait avoir un effet choc suffisant pour détourner G.________ de la récidive, compte tenu des peines purgées précédemment. Celui-ci a réitéré ses comportements délictueux à de nombreuses reprises, sans se soucier des diverses sanctions prises à son égard, dont il n’a manifestement tiré aucun enseignement. Ni l’exécution de courtes peines privatives de liberté, ni la prolongation du sursis à l’exécution d’une peine privative de liberté, pourtant de 18 mois, n’ont dissuadé le recourant de persévérer dans ses comportements répréhensibles. Certes, d'après ses propos à l'audience d'appel, on peut retenir à sa décharge qu'il a cessé de consommer des stupéfiants et qu'il a conservé son emploi. Cela ne suffit toutefois pas à modifier le pronostic défavorable qui doit être posé compte tenu de l'insensibilité à la sanction pénale que l'appelant a démontrée.</w:t>
      </w:r>
    </w:p>
    <w:p>
      <w:r>
        <w:rPr>
          <w:b/>
        </w:rPr>
        <w:t>E. 7</w:t>
      </w:r>
    </w:p>
    <w:p>
      <w:r>
        <w:t>En définitive, l'appel s'avère mal fondé et doit être rejeté aux frais de son auteur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