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 vom 19. Juli 2011</w:t>
      </w:r>
    </w:p>
    <w:p>
      <w:r>
        <w:t>VD Tribunal cantonal, 2011-07-19, FR</w:t>
      </w:r>
    </w:p>
    <w:p>
      <w:r>
        <w:rPr>
          <w:b/>
        </w:rPr>
        <w:t xml:space="preserve">Quelle: </w:t>
      </w:r>
      <w:r>
        <w:t>https://mcp.opencaselaw.ch/entscheid/vd_findinfo_Jug___2012___6</w:t>
      </w:r>
    </w:p>
    <w:p>
      <w:r>
        <w:t>FR: VD_FINDINFO Jug / 2012 / 6 du 19 juillet 2011</w:t>
      </w:r>
    </w:p>
    <w:p>
      <w:r>
        <w:t>IT: VD_FINDINFO Jug / 2012 / 6 del 19 luglio 2011</w:t>
      </w:r>
    </w:p>
    <w:p>
      <w:pPr>
        <w:pStyle w:val="Heading2"/>
      </w:pPr>
      <w:r>
        <w:t>Regeste</w:t>
      </w:r>
    </w:p>
    <w:p>
      <w:r>
        <w:t>LÉSION CORPORELLE GRAVE, LÉSION CORPORELLE PAR NÉGLIGENCE, LIEN DE CAUSALITÉ, CIRCULATION ROUTIÈRE{DROIT DE LA CIRCULATION ROUTIÈRE} | 125 CP, 31 al. 1 LCR</w:t>
      </w:r>
    </w:p>
    <w:p>
      <w:pPr>
        <w:pStyle w:val="Heading2"/>
      </w:pPr>
      <w:r>
        <w:t>Erwägungen</w:t>
      </w:r>
    </w:p>
    <w:p>
      <w:r>
        <w:rPr>
          <w:b/>
        </w:rPr>
        <w:t>E. 4</w:t>
      </w:r>
    </w:p>
    <w:p>
      <w:r>
        <w:t>F.________ étant condamnée en appel pour une infraction différente de celle retenue par les premiers juges, il convient de fixer une nouvelle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4.3</w:t>
      </w:r>
    </w:p>
    <w:p>
      <w:r>
        <w:t>En l'espèce, F.________ a violé son devoir de prudence découlant des règles de la circulation routière. En se trompant de pédale, elle a commis une grossière maladresse, alors qu'elle est une conductrice expérimentée qui conduisait depuis plus de 20 ans au moment des faits. Le fait qu'elle ait utilisé, peu de temps avant les faits, une voiture de remplacement équipée d'une boîte à vitesse automatique est en l'espèce sans incidence. Le comportement de l'appelante est constitutif dans son ensemble d'une faute toutefois encore relativement légère, qu'il convient de sanctionner par une peine pécuniaire de 10 jours-amende avec sursis pendant deux ans. Compte tenu de sa situation personnelle et financière, le montant du jour-amende doit être arrêté à 50 francs.</w:t>
      </w:r>
    </w:p>
    <w:p>
      <w:r>
        <w:rPr>
          <w:b/>
        </w:rPr>
        <w:t>E. 5</w:t>
      </w:r>
    </w:p>
    <w:p>
      <w:r>
        <w:t>S'agissant des conclusions civiles, N.________ se réfère aux conclusions qu'il a déposées le 19 juillet 2011 (P. 59) dans lesquelles il conclut à ce qu'il soit constaté que la faute de circulation commise par F.________ lors de l'accident du 17 octobre 2008 fonde sa responsabilité civile pour les dommages qu'il a subis (I), qu'il lui soit donné acte de ses réserves civiles (II) et qu'il lui soit alloué de plein dépens pénaux (III). Compte tenu de l'instruction qui a été menée et de l'état de fait tel que retenu, il n'est pas possible de se déterminer sur la première conclusion civile prise par l'appelant et cela excèderait de toute manière le cadre de la cause. Pour le surplus, il sera donné acte de ses réserves civiles à N.________ et des dépens pénaux lui seront alloués.</w:t>
      </w:r>
    </w:p>
    <w:p>
      <w:r>
        <w:rPr>
          <w:b/>
        </w:rPr>
        <w:t>E. 6</w:t>
      </w:r>
    </w:p>
    <w:p>
      <w:r>
        <w:t>Vu l'issue de la cause, les frais les frais d'appel sont mis à la charge de F.________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