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54 vom 14. November 2011</w:t>
      </w:r>
    </w:p>
    <w:p>
      <w:r>
        <w:t>VD Tribunal cantonal, 2011-11-14, FR</w:t>
      </w:r>
    </w:p>
    <w:p>
      <w:r>
        <w:rPr>
          <w:b/>
        </w:rPr>
        <w:t xml:space="preserve">Quelle: </w:t>
      </w:r>
      <w:r>
        <w:t>https://mcp.opencaselaw.ch/entscheid/vd_findinfo_Jug___2012___54</w:t>
      </w:r>
    </w:p>
    <w:p>
      <w:r>
        <w:t>FR: VD_FINDINFO Jug / 2012 / 54 du 14 novembre 2011</w:t>
      </w:r>
    </w:p>
    <w:p>
      <w:r>
        <w:t>IT: VD_FINDINFO Jug / 2012 / 54 del 14 novembre 2011</w:t>
      </w:r>
    </w:p>
    <w:p>
      <w:pPr>
        <w:pStyle w:val="Heading2"/>
      </w:pPr>
      <w:r>
        <w:t>Regeste</w:t>
      </w:r>
    </w:p>
    <w:p>
      <w:r>
        <w:t>BLANCHIMENT D'ARGENT, LOI FÉDÉRALE SUR LES STUPÉFIANTS ET LES SUBSTANCES PSYCHOTROPES, LOI FÉDÉRALE SUR LES ÉTRANGERS | 305bis CP, 40 CP, 47 CP, 49 CP, 51 CP, 19 ch. 1 al. 2 LStup, 19 ch. 2 LStup, 115 LEtr</w:t>
      </w:r>
    </w:p>
    <w:p>
      <w:pPr>
        <w:pStyle w:val="Heading2"/>
      </w:pPr>
      <w:r>
        <w:t>Erwägungen</w:t>
      </w:r>
    </w:p>
    <w:p>
      <w:r>
        <w:rPr>
          <w:b/>
        </w:rPr>
        <w:t>E. 1.1</w:t>
      </w:r>
    </w:p>
    <w:p>
      <w:r>
        <w:t>Déposé en temps utile et contenant des conclusions suffisantes, l'appel est recevable (art. 399 al. 1 et 3 CPP;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2.1</w:t>
      </w:r>
    </w:p>
    <w:p>
      <w:r>
        <w:t>A.W.________ fait tout d'abord valoir que la quantité de drogue retenue par le Tribunal (984 grammes ou 393,6 grammes de cocaïne pure) procède d’une constatation erronée des faits, singulièrement d’une mauvaise lecture de la pièce no 4 du dossier, et de la non prise en compte de ses déclarations pourtant corroborées par celles de B.W.________. Il prétend que les montants indiqués avec des "+" figurant en colonne et sur la droite de montants plus importants, ne doivent pas être additionnés mais inclus dans ces derniers. Il chiffre ainsi à 40'970 fr., le produit de sa vente. Cette somme, dont à déduire les montants indéchiffrables, convertie selon les modalités retenues par le Tribunal, révèle un trafic de moindre importance que celui retenu par le jugement entrepris (à savoir, 241, 66 grammes de substance active au lieu de 393, 6 grammes), ce qui justifie une réduction de la peine.</w:t>
      </w:r>
    </w:p>
    <w:p>
      <w:r>
        <w:rPr>
          <w:b/>
        </w:rPr>
        <w:t>E. 2.2</w:t>
      </w:r>
    </w:p>
    <w:p>
      <w:r>
        <w:t>Analysant la pièce no 4 du dossier (le rapport de la Police municipale de Lausanne du 20 septembre 2007) qui reproduit, en page 2, une photocopie du calepin de B.W.________, l'autorité de première instance a retenu, en bref, que les sommes inscrites par ce dernier devaient être additionnées. L'étude de cette pièce permet de se convaincre de la justesse de ce raisonnement. En effet, les sommes sont séparées du signe "+" et sont biffées en une seule opération et non à chaque apport d’argent. Enfin, c'est à juste titre que les premiers juges ont écarté la version des faits présentée par l'appelant, laquelle n'expliquerait pas pour quelles raisons une suite de chiffres ne traduirait pas toujours une augmentation des montants. Au demeurant, B.W.________ a expliqué (pièce no 1, procès-verbal d'audition du 19 juin 2007, réponse à D.3) qu'il inscrivait les sommes dans son calepin et les biffait une fois la somme transportée. Il a également affirmé qu'il lui est arrivé "à quelques reprises" de procéder comme l'appelant le prétend, ce qui n'est pas confirmé par le calepin. Cela étant, si l'on additionne les montants inscrits dans la comptabilité de B.W.________, le trafic de l'appelant a rapporté 66’400 fr., ce qui est conforme aux pièces du dossier, singulièrement au rapport complémentaire établi au cours de l'enquête [...] par la Police municipale de Lausanne le 8 avril 2008, lequel fait état d'un montant de "[…] plus de 66'000 fr. […]" (pièce no 14, p. 3). Le Tribunal s'est distancié de ce chiffre; il n'a retenu que 64'000 fr., au vu de la difficulté à déchiffrer certaines sommes (jugement, p. 12). Pour déterminer la quantité de cocaïne écoulée par le prévenu, le Tribunal a divisé 64'000 fr. par 65 fr. Ce dernier chiffre représente le bénéfice réalisé par A.W.________ pour chaque gramme de cocaïne vendu (rapport de police du 8 avril 2008 précité, même page), ce qui donne 984 grammes (64'000 fr./ 65 fr.), soit de 393, 6 grammes de cocaïne pure au taux moyen de pureté de l'année 2008 (40 %), non contesté par l'appelant et conforme à la jurisprudence (cf. jugement, pp. 12 et 13). Vu ce qui précède, le moyen tiré de la constatation erronée des faits apparaît mal fondé et ne permet pas à l’appelant de critiquer la quotité de la sanction.</w:t>
      </w:r>
    </w:p>
    <w:p>
      <w:r>
        <w:rPr>
          <w:b/>
        </w:rPr>
        <w:t>E. 3</w:t>
      </w:r>
    </w:p>
    <w:p>
      <w:r>
        <w:t>On retiendra donc, avec les premiers juges, qu'au vu de l'ampleur de son trafic (le volume de cocaïne pure dépasse largement les 18 grammes), l'appelant s'est rendu coupable d'infraction grave à la loi fédérale sur les stupéfiants au sens des art. 19 ch. 1 et 2 litt. a LStup, la nouvelle teneur de cette disposition n'étant pas plus favorable (art. 2 CP). Le comportement de l'intéressé tombe également sous le coup de l'art. art. 305 bis CP (blanchiment d'argent) et son séjour illégal est sanctionné par l'art. 23 LSEE pour la période allant jusqu'au 31 décembre 2007 et par l'art. 115 al. 1 litt. b LEtr dès le 1 er janvier 2008.</w:t>
      </w:r>
    </w:p>
    <w:p>
      <w:r>
        <w:rPr>
          <w:b/>
        </w:rPr>
        <w:t>E. 4</w:t>
      </w:r>
    </w:p>
    <w:p>
      <w:r>
        <w:t>A.W.________ soutient que l'autorité de première instance a abusé de son pouvoir d'appréciation en lui infligeant une peine arbitrairement sévère et supérieure à celle que les tribunaux fixent généralement dans ce genre d’affaire. 4.1.1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Ces critères correspondent à ceux développés par la jurisprudence relative à l'art. 63 aCP, à laquelle on peut se référer. Le juge dispose d'un large pouvoir d'appréciation dans la fixation de la peine (ATF 134 IV 17 c. 2.1 p. 19).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litt. a LStup (ATF 122 IV 299 c. 2c ; ATF 121 IV 193 c. 2b/aa, 202 c. 2d/cc).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6B_265/2010 du 13 août 2010 c. 2.3).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IV 202 c. 2d/aa; 118 IV 342 c. 2d). 4.1.2 Consommateur de marijuana et de cocaïne, l'appelant a indiqué aux débats de première instance (procès-verbal, p. 6) avoir profité de la générosité de tiers pour sa consommation. Il ne s'est ainsi pas adonné au trafic pour financer son vice, et son mobile s’apparente à l’appât du gain. Il n'a pas collaboré à l'instruction, a persisté à nier les quantités de drogue écoulées et n'a fait preuve d'aucun regret. Minimisant l’incrimination pénale, il a fait montre d'une non prise de conscience de la gravité de ses agissements. Les infractions commises par A.W.________ sont en concours (blanchiment d'argent, infraction grave à la LStup, infraction à la LSEE et à la LEtr), ce qui alourdit la peine (art. 49 CP). On tiendra compte également de l'importance du trafic, qui même s'il était local, s'est étendu sur quasi deux ans et a porté sur presque un kilo de cocaïne. A la décharge du prévenu, on considérera l'écoulement du temps, ainsi que sa situation personnelle : lors de son arrestation, il paraissait socialisé à l'étranger. Ces éléments à charge et à décharge n'ont pas été méconnus par les premiers juges, qui ont constaté, cela étant, que la culpabilité de l'intéressé était lourde et qu'une peine privative de liberté de 4 ans, sous déduction de 127 jours de détention provisoire, était adéquate (cf. jugement, p. 15). Cela n'est pas critiquable. Au reste, le recourant ne démontre pas qu'un facteur pertinent aurait été ignoré ou qu'un facteur non pertinent aurait, à tort, été pris en considération pour la fixation de la peine. Les premiers juges n'ont donc pas abusé de leur pouvoir d'appréciation et ce grief tombe à faux.</w:t>
      </w:r>
    </w:p>
    <w:p>
      <w:r>
        <w:rPr>
          <w:b/>
        </w:rPr>
        <w:t>E. 4.2</w:t>
      </w:r>
    </w:p>
    <w:p>
      <w:r>
        <w:t>L'analyse comparative à laquelle se livre l'appelant pour soutenir que sa peine est trop lourde n'est pas davantage pertinente. 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p. 144; ATF 116 IV 292). Il ne suffit notamment pas que le recourant puisse citer l'un ou l'autre précédent où une peine particulièrement clémente a été fixée pour prétendre à un droit à l'égalité de traitement (ATF 120 IV 136 c. 3a p. 144 et les arrêts cités). Le principe de la légalité prime du reste sur celui de l'égalité (ATF 124 IV 44, c. 2c p. 47) (TF 6B_279/2011 du 20 juin 2011 c. 3.3.1). La référence à deux affaires récentes est vaine. En conclusion la peine infligée à A.W.________ par les premiers juges respecte le droit fédéral et doit être confirmée.</w:t>
      </w:r>
    </w:p>
    <w:p>
      <w:r>
        <w:rPr>
          <w:b/>
        </w:rPr>
        <w:t>E. 4.3</w:t>
      </w:r>
    </w:p>
    <w:p>
      <w:r>
        <w:t>La quotité de cette peine (4 ans) étant incompatible avec le sursis (art. 42 et 43 CP), l'appel devient sans objet sur ce point.</w:t>
      </w:r>
    </w:p>
    <w:p>
      <w:r>
        <w:rPr>
          <w:b/>
        </w:rPr>
        <w:t>E. 5</w:t>
      </w:r>
    </w:p>
    <w:p>
      <w:r>
        <w:t>Vu ce qui précède, l'appel doit être rejeté et le jugement entrepris confirmé.</w:t>
      </w:r>
    </w:p>
    <w:p>
      <w:r>
        <w:rPr>
          <w:b/>
        </w:rPr>
        <w:t>E. 6</w:t>
      </w:r>
    </w:p>
    <w:p>
      <w:r>
        <w:t>Vu le sort de l'appel, les frais de seconde instance, qui comprennent l'indemnité due à son défenseur d'office, doivent être mis à la charge de A.W.________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