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5 vom 17. August 2011</w:t>
      </w:r>
    </w:p>
    <w:p>
      <w:r>
        <w:t>VD Tribunal cantonal, 2011-08-17, FR</w:t>
      </w:r>
    </w:p>
    <w:p>
      <w:r>
        <w:rPr>
          <w:b/>
        </w:rPr>
        <w:t xml:space="preserve">Quelle: </w:t>
      </w:r>
      <w:r>
        <w:t>https://mcp.opencaselaw.ch/entscheid/vd_findinfo_Jug___2012___5</w:t>
      </w:r>
    </w:p>
    <w:p>
      <w:r>
        <w:t>FR: VD_FINDINFO Jug / 2012 / 5 du 17 août 2011</w:t>
      </w:r>
    </w:p>
    <w:p>
      <w:r>
        <w:t>IT: VD_FINDINFO Jug / 2012 / 5 del 17 agosto 2011</w:t>
      </w:r>
    </w:p>
    <w:p>
      <w:pPr>
        <w:pStyle w:val="Heading2"/>
      </w:pPr>
      <w:r>
        <w:t>Regeste</w:t>
      </w:r>
    </w:p>
    <w:p>
      <w:r>
        <w:t>INJURE, VOIES DE FAIT, MENACE{DROIT PÉNAL}, PRÉSOMPTION D'INNOCENCE, CONSTATATION DES FAITS, FIXATION DE LA PEINE, PEINE PÉCUNIAIRE, SURSIS AUX ENCHÈRES, SURSIS À L'EXÉCUTION DE LA PEINE, SURSIS À LA RÉALISATION | 49 al. 1 CO, 126 CP, 177 al. 1 CP, 180 CP, 34 CP, 42 al. 1 CP, 47 CP, 10 CPP (CH)</w:t>
      </w:r>
    </w:p>
    <w:p>
      <w:pPr>
        <w:pStyle w:val="Heading2"/>
      </w:pPr>
      <w:r>
        <w:t>Erwägungen</w:t>
      </w:r>
    </w:p>
    <w:p>
      <w:r>
        <w:rPr>
          <w:b/>
        </w:rPr>
        <w:t>E. 1</w:t>
      </w:r>
    </w:p>
    <w:p>
      <w:r>
        <w:t>L’appel doit être annoncé dans les 10 jours qui suivent la communication du jugement, soit la remise ou la notification du dispositif écrit. La déclaration d’appel doit, quant à elle, être déposée dans les 20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L'appelant conteste l'intégralité des faits qui lui sont reprochés et qui ont été retenus à son encontre. Lors de son audition par le premier juge, il a admis qu'avaient eu lieu des disputes, mais a nié avoir frappé ou insulté son épouse. Il a encore indiqué avoir saisi cette dernière par le poignet le 7 décembre 2009 parce que celle-ci le poussait.</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 ATF 127 I 38 c. 2a). Comme règle d'appréciation des preuves, elle est violée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En matière d'appréciation des preuves et d'établissement des faits, il y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(Kistler Vianin, in : Commentaire romand, Code de procédure pénale suisse, Bâle 2011, n. 28 ad art. 398 CPP).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135 III 552 c. 4.2 ; TF 1C_517/2010 du 7 mars 2011 c. 2.1).</w:t>
      </w:r>
    </w:p>
    <w:p>
      <w:r>
        <w:rPr>
          <w:b/>
        </w:rPr>
        <w:t>E. 3.2</w:t>
      </w:r>
    </w:p>
    <w:p>
      <w:r>
        <w:t>En l'espèce, n'étant au bénéfice d'aucune photographie ni d'aucun certificat médical, le premier juge a fondé sa conviction sur les déclarations de la victime, corroborées par celles de sa fille. Il a estimé que cette dernière s'était montrée particulièrement claire et persuasive, qu'il existait certes des petites divergences entre ses déclarations et celles de sa mère mais que cela les rendait d'autant plus crédibles. Il a considéré que les dénégations massives de F.________ étaient quant à elles dénuées de crédibilité, celui-ci se posant sans cesse en victime et renversant ainsi les rôles. On ajoutera à cet égard que F.________ a notamment indiqué à la police qu'il ne comprenait pas que son épouse fasse appel aux forces de l'ordre, qu'elle n'avait aucun respect pour lui (cf. pièce 4, rapport de violence domestique de la police cantonale du 7 décembre 2009, p. 4). Il a aussi déclaré : "Je suis choqué. En fait, c'est moi qui aurais dû appeler la police. C'est tous les jours que je me fais insulter ou qu'on me lance des objets" (cf. pièce 5, rapport de violence domestique de la police cantonale du 29 décembre 2009, p. 4). La police est intervenue à deux reprises, soit le 7 décembre 2009, à l'initiative de la plaignante après une dispute du couple, et le 29 décembre 2009, à la suite d'une nouvelle dispute du couple en présence des deux enfants de la plaignante et de deux amis de ces derniers. A noter qu'à l'occasion de cette deuxième intervention, la police alertée par l'ami de l'un des deux enfants, est arrivée sur les lieux alors que deux patrouilles de la Police [...] étaient déjà présentes et qu'elle a alors constaté une situation calme. Cela étant, comme le premier juge, il convient de constater que rien ne permet de mettre en doute la version des faits de la plaignante, qui apparaît sincère, crédible et mesurée, d'autant que ses déclarations sont corroborées par celles de sa fille qui s'est montrée particulièrement claire et convaincante.</w:t>
      </w:r>
    </w:p>
    <w:p>
      <w:r>
        <w:rPr>
          <w:b/>
        </w:rPr>
        <w:t>E. 4</w:t>
      </w:r>
    </w:p>
    <w:p>
      <w:r>
        <w:t>Il convient dès lors d'examiner si les conditions des infractions retenues par le tribunal sont réalisées.</w:t>
      </w:r>
    </w:p>
    <w:p>
      <w:r>
        <w:rPr>
          <w:b/>
        </w:rPr>
        <w:t>E. 4.1</w:t>
      </w:r>
    </w:p>
    <w:p>
      <w:r>
        <w:t>L’art. 126 al. 1 CP énonce que celui qui se sera livré sur une personne à des voies de fait qui n’auront causé ni lésion corporelle ni atteinte à la santé sera, sur plainte, puni d’une amende (al. 1). La poursuite aura lieu d'office si l'auteur a agi à réitérées reprises contre son conjoint durant le mariage ou dans l'année qui a suivi le divorce (al. 2 let. b). Les voies de fait, réprimées par l’art. 126 CP, se définissent comme des atteintes physiques qui excèdent ce qui est socialement toléré et qui ne causent ni lésions corporelles, ni dommages à la santé. Une telle atteinte peut exister même si elle n'a causé aucune douleur physique (ATF 134 IV 189 c. 1.2 ; ATF 119 IV 25 c. 2a). En l'occurrence, il est établi que l'appelant a frappé son épouse à deux reprises en 2009, sur tout le corps, qu'il lui a fortement saisi le poignet le 7 décembre 2009, lui a violemment frappé sa main contre la table le 29 décembre 2009. Les conditions objectives et subjectives de cette infraction sont donc réalisées.</w:t>
      </w:r>
    </w:p>
    <w:p>
      <w:r>
        <w:rPr>
          <w:b/>
        </w:rPr>
        <w:t>E. 4.2</w:t>
      </w:r>
    </w:p>
    <w:p>
      <w:r>
        <w:t>En vertu de l'art. 177 al. 1 CP, celui qui, de toute autre manière, aura, par la parole, l’écriture, l’image, le geste ou par des voies de fait, attaqué autrui dans son honneur sera, sur plainte, puni d’une peine pécuniaire de 90 jours-amende au plus. L'honneur que protège l'art. 177 CP est le sentiment et la réputation d'être une personne honnête et respectable, c'est-à-dire le droit de ne pas être méprisé en tant qu'être humain ou entité juridique (TF 6B_602/2009 du 29 septembre 2009 c. 2.2; ATF 128 IV 260 c. 3.1 non publié). Pour déterminer si une déclaration est attentatoire à l'honneur, il faut procéder à une interprétation objective selon le sens qu'un auditeur ou un lecteur non prévenu devait, dans les circonstances données, lui attribuer (ATF 128 IV 260 c. 3.1 non publié). En traitant son épouse de "salope", "pute" et d' "européenne de merde", l'appelant s'est bien rendu coupable d'injure au sens de l'art. 177 CP.</w:t>
      </w:r>
    </w:p>
    <w:p>
      <w:r>
        <w:rPr>
          <w:b/>
        </w:rPr>
        <w:t>E. 4.3</w:t>
      </w:r>
    </w:p>
    <w:p>
      <w:r>
        <w:t>Aux termes de l'art. 180 al. 1 CP, celui qui, par une menace grave, aura alarmé ou effrayé une personne sera, sur plainte, puni d'une peine privative de liberté de trois ans au plus ou d'une peine pécuniaire. L'art. 180 al. 2 let. a CP précise que la poursuite aura lieu d'office si l'auteur est le conjoint de la victime et que la menace a été commise durant le mariage ou dans l'année qui a suivi le divorce. La punition de l'auteur dépend de la réalisation de deux conditions. Il faut, d'une part, que l'auteur ait émis une menace grave et, d'autre part, que la victime ait été alarmée ou effrayée (Corboz, Les infractions en droit suisse, Berne 2010, vol. I, n. 1 ss ad art. 180 CP). Une menace est qualifiée de grave si elle est objectivement de nature à alarmer ou effrayer la victime. Il faut donc se demander si une personne raisonnable, dotée d'une résistance psychologique plus ou moins normale, aurait ressenti la menace comme grave (ATF 99 IV 212 c. 1a). En l'occurrence, l'appelant, muni d'un couteau, a menacé son épouse, lui déclarant qu'il allait la tuer elle et ses enfants. Les conditions objectives et subjectives de cette infraction sont donc également réalisées.</w:t>
      </w:r>
    </w:p>
    <w:p>
      <w:r>
        <w:rPr>
          <w:b/>
        </w:rPr>
        <w:t>E. 5</w:t>
      </w:r>
    </w:p>
    <w:p>
      <w:r>
        <w:t>Dans la mesure où l'appelant ne discute pas la peine dès lors qu'il conclut à son acquittement, il convient d'examiner cette question d'office.</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34 CP prévoit que le juge fixe le nombre de jours-amende en fonction de la culpabilité de l’auteur (al. 1) et leur montant selon la situation personnelle et économique de l'auteur au moment du jugement, notamment en tenant compte de son revenu et de sa fortune, de son mode de vie, de ses obligations d'assistance, en particulier familiales, et du minimum vital (al. 2).</w:t>
      </w:r>
    </w:p>
    <w:p>
      <w:r>
        <w:rPr>
          <w:b/>
        </w:rPr>
        <w:t>E. 5.2.1</w:t>
      </w:r>
    </w:p>
    <w:p>
      <w:r>
        <w:t>En l'espèce, s'agissant de la peine, le premier juge a considéré que la culpabilité de F.________ était relativement lourde. A sa charge, il a tenu compte du concours d'infractions et de ses dénégations. Il n'a rien retenu à sa décharge (jgt., p. 10). Force est de constater que la peine de jours-amende est conforme aux énoncés des art. 177 et 180 CP. Certes, s'est posée la question de prononcer une amende à titre de sanction immédiate, cette éventualité ayant toutefois été écartée à juste titre par le premier juge, compte tenu de la situation financière du condamné. Au vu de la lourde culpabilité de l'appelant, le premier juge n'a donc pas outrepassé son pouvoir d'appréciation en lui infligeant une peine de 70 jours-amende.</w:t>
      </w:r>
    </w:p>
    <w:p>
      <w:r>
        <w:rPr>
          <w:b/>
        </w:rPr>
        <w:t>E. 5.2.2</w:t>
      </w:r>
    </w:p>
    <w:p>
      <w:r>
        <w:t>Le montant du jour-amende arrêté à 30 fr. par le premier juge doit être confirmé, compte tenu de la situation de l'intéressé. La Cour d'appel ne saurait en effet retenir que le prévenu n'a aucun revenu et qu'il ne vit que de l'aide de son frère, alors qu'il a été vu en tenue de travail à Vevey et photographié en train de travailler sur un chantier en été 2011 (cf. procès-verbal de l'audience du 14 novembre 2011, p. 4) et qu'il s'acquitte des frais liés à son véhicule, une Audi A4. Par conséquent, la peine de 70 jours-amende à 30 fr. le jour, est adéquate et doit être confirmée.</w:t>
      </w:r>
    </w:p>
    <w:p>
      <w:r>
        <w:rPr>
          <w:b/>
        </w:rPr>
        <w:t>E. 6</w:t>
      </w:r>
    </w:p>
    <w:p>
      <w:r>
        <w:t>Se pose encore la question du bien-fondé de l'octroi du sursis.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En l'occurrence, compte tenu du fait que l'appelant est un délinquant primaire, c'est à juste titre que le premier juge a suspendu sa peine. En outre, les critères nécessaires à l'octroi du sursis sont réalisés.</w:t>
      </w:r>
    </w:p>
    <w:p>
      <w:r>
        <w:rPr>
          <w:b/>
        </w:rPr>
        <w:t>E. 7</w:t>
      </w:r>
    </w:p>
    <w:p>
      <w:r>
        <w:t>Finalement, il convient d'examiner encore la question du tort moral.</w:t>
      </w:r>
    </w:p>
    <w:p>
      <w:r>
        <w:rPr>
          <w:b/>
        </w:rPr>
        <w:t>E. 7.1</w:t>
      </w:r>
    </w:p>
    <w:p>
      <w:r>
        <w:t>L’art.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dépend avant tout de la gravité des souffrances physiques, ou psychiques comme c’est le cas en l’espèce,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 ATF 129 IV 22 c. 7.2 ; TF 6B_256/2009 du 24 juillet 2009, c. 1.1). Le juge en proportionnera donc le montant à la gravité de l’atteinte subie et évitera que la somme accordée n’apparaisse dérisoire à la victime.</w:t>
      </w:r>
    </w:p>
    <w:p>
      <w:r>
        <w:rPr>
          <w:b/>
        </w:rPr>
        <w:t>E. 7.2</w:t>
      </w:r>
    </w:p>
    <w:p>
      <w:r>
        <w:t>Compte tenu de la multiplicité des atteintes, injures et menaces de mort dirigées à l'encontre de la plaignante, le montant de 1'000 fr., plus intérêts dès le 29 décembre 2009, fixé par le premier juge n'est pas excessif et doit être confirmé.</w:t>
      </w:r>
    </w:p>
    <w:p>
      <w:r>
        <w:rPr>
          <w:b/>
        </w:rPr>
        <w:t>E. 8</w:t>
      </w:r>
    </w:p>
    <w:p>
      <w:r>
        <w:t>Le dispositif lu à l'issue de l'audience du 14 novembre 2011 et envoyé aux parties ne mentionne pas que le jugement de la Cour d'appel pénale est exécutoire. Il s'agit d'une inadvertance manifeste qu'il y a lieu de corriger d'office, conformément à l'art. 83 al. 1 CPP, par l'ajout d'un chiffre VII le précisant.</w:t>
      </w:r>
    </w:p>
    <w:p>
      <w:r>
        <w:rPr>
          <w:b/>
        </w:rPr>
        <w:t>E. 9</w:t>
      </w:r>
    </w:p>
    <w:p>
      <w:r>
        <w:t>En définitive, il découle de ce qui précède que l'appel doit être rejeté et le jugement attaqué confirmé dans son intégralité. Vu l'issue de la cause, les frais de procédure sont mis à la charge de l’appelant (art. 428 al. 1, 1 ère phrase, CPP). Outre l'émolument, ces frais comprennent l’indemnité allouée à son défenseur d’office, par 1'214 fr. (mille deux cent quatorze francs), l'indemnité allouée au conseil d'office de B.________, par 979 fr. 80 (neuf cent septante-neuf francs et huitante centimes), TVA et débours compris. Le prévenu ne sera tenu de rembourser à l’Etat le montant des indemnités en faveur de son défenseur d'office et du conseil d’office de la partie plaignante prévues ci-dessus que lorsque sa situation financière le permettra (art. 135 al. 4 let. a et 426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