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339 vom 13. Juli 2012</w:t>
      </w:r>
    </w:p>
    <w:p>
      <w:r>
        <w:t>VD Tribunal cantonal, 2012-07-13, FR</w:t>
      </w:r>
    </w:p>
    <w:p>
      <w:r>
        <w:rPr>
          <w:b/>
        </w:rPr>
        <w:t xml:space="preserve">Quelle: </w:t>
      </w:r>
      <w:r>
        <w:t>https://mcp.opencaselaw.ch/entscheid/vd_findinfo_Jug___2012___339</w:t>
      </w:r>
    </w:p>
    <w:p>
      <w:r>
        <w:t>FR: VD_FINDINFO Jug / 2012 / 339 du 13 juillet 2012</w:t>
      </w:r>
    </w:p>
    <w:p>
      <w:r>
        <w:t>IT: VD_FINDINFO Jug / 2012 / 339 del 13 luglio 2012</w:t>
      </w:r>
    </w:p>
    <w:p>
      <w:pPr>
        <w:pStyle w:val="Heading2"/>
      </w:pPr>
      <w:r>
        <w:t>Regeste</w:t>
      </w:r>
    </w:p>
    <w:p>
      <w:r>
        <w:t>ACTE D'ORDRE SEXUEL AVEC UNE PERSONNE DÉPENDANTE | 105 CP, 106 CP, 191 CP, 34 CP, 42 al. 1 CP, 42 al. 4 CP, 42 CP, 44 CP, 47 CP, 49 al. 2 CP</w:t>
      </w:r>
    </w:p>
    <w:p>
      <w:pPr>
        <w:pStyle w:val="Heading2"/>
      </w:pPr>
      <w:r>
        <w:t>Erwägungen</w:t>
      </w:r>
    </w:p>
    <w:p>
      <w:r>
        <w:rPr>
          <w:b/>
        </w:rPr>
        <w:t>E. 1.1</w:t>
      </w:r>
    </w:p>
    <w:p>
      <w:r>
        <w:t>Interjetés en temps utile et dans les formes, l'appel de Z.________ et l'appel joint du Ministère public sont recevables (art. 399 al. 1 et 3 CPP).</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Comme règle d'appréciation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6B_78/2012 du 7 août 2012, c. 2 et réf. cit.). Appel de Z.________</w:t>
      </w:r>
    </w:p>
    <w:p>
      <w:r>
        <w:rPr>
          <w:b/>
        </w:rPr>
        <w:t>E. 2</w:t>
      </w:r>
    </w:p>
    <w:p>
      <w:r>
        <w:t>L'appelant conteste les faits.</w:t>
      </w:r>
    </w:p>
    <w:p>
      <w:r>
        <w:rPr>
          <w:b/>
        </w:rPr>
        <w:t>E. 2.1</w:t>
      </w:r>
    </w:p>
    <w:p>
      <w:r>
        <w:t>Il se prévaut de la constance de ses déclarations et reproche au tribunal d'avoir privilégié celles de la victime malgré leur caractère divergent et imprécis sur des points importants comme l'époque des événements, la durée du massage, et la localisation des caresses. L.________ a indiqué que les faits s'était déroulés alors qu'elle avait 16 ou 17 ans (PV aud. 1 p. 2), qu'ils avaient eu lieu après la mort de son père, soit après le 9 décembre 2004 (jugement p. 4). Ces déclarations sont des estimations. Elles n'ont rien de contradictoire. Localisant les attouchements, L.________ a dit que le prévenu lui avait caressé le vagin sans la pénétrer (PV aud. 1 p. 2). Le vagin est un organe interne; on comprend que la jeune fille voulait parler de son sexe, puisqu'elle précise ne pas avoir été pénétrée. S'agissant de la durée de l'acte, L.________ a tout d'abord parlé de 30 minutes (PV aud. 1 p. 2), puis de 10 à 15 minutes, pour finir par dire qu'elle ne se souvenait plus très bien mais que "[…] c'était long. […]" (jugement p. 6). Ces divergences ne remettent pas en cause sa crédibilité. Il est en effet notoire que la mémoire est subjective et que le temps semble s’arrêter pour celui qui vit un événement pénible. En tout état, la durée du massage importe peu, dès lors que ce n'est pas celui-ci qui est reproché au prévenu mais l'attouchement du sexe qui n'a duré qu'un instant. Ces griefs tombent à faux.</w:t>
      </w:r>
    </w:p>
    <w:p>
      <w:r>
        <w:rPr>
          <w:b/>
        </w:rPr>
        <w:t>E. 2.2</w:t>
      </w:r>
    </w:p>
    <w:p>
      <w:r>
        <w:t>Z.________ reproche au tribunal de s'être livré à une lecture sélective du témoignage d’ [...], en faisant fi de l'indication selon laquelleL.________ – dont elle était la confidente – ne lui avait pas parlé d'actes à connotation sexuelle. A son tour, l'appelant omet de considérer les autres indications données par ce L.________ n'avait pas l'habitude de mentir et n'agissait jamais par vengeance, que le jour des faits, elle l'avait appelée en pleurant pour lui dire qu'elle voulait que Z.________ arrête de lui frotter le dos, et qu'elle n'avait peut-être pas compris le sens réel de la plainte de sa sœur lorsqu'elle parlait de "[…] caresses jusqu'en bas du dos […]" (PV aud. 5 p. 2). Les pleurs de la victime révèlent la gravité de la situation. L.________ n'aurait, en effet, eu aucune raison d'appeler sa sœur en pleurant si le prévenu s'était contenté de lui masser le dos pour la soulager. Cette appréciation est aussi celle du premier juge (jugement p. 21), qui n'a rien de critiquable et doit être confirmée.</w:t>
      </w:r>
    </w:p>
    <w:p>
      <w:r>
        <w:rPr>
          <w:b/>
        </w:rPr>
        <w:t>E. 2.3</w:t>
      </w:r>
    </w:p>
    <w:p>
      <w:r>
        <w:t>L’appelant prétend qu’il est "surprenant" que la victime n’ait pas éprouvé le besoin de se confier à son psychiatre à la suite des faits qu'elle allègue. Le suivi psychiatrique entamé par L.________ a débuté ultérieurement, en raison d'un autre problème (PV aud. 1 p. 2). La jeune femme dit n'avoir aucune rancune et ne prétend pas que les faits incriminés la perturbent gravement; elle a appris à vivre avec (jugement p. 5). Chacun réagit à sa façon. Une telle position ne permet pas de douter des accusations de L.________</w:t>
      </w:r>
    </w:p>
    <w:p>
      <w:r>
        <w:rPr>
          <w:b/>
        </w:rPr>
        <w:t>E. 2.4</w:t>
      </w:r>
    </w:p>
    <w:p>
      <w:r>
        <w:t>Z.________ fait grief au tribunal d'avoir tenu pour "convaincant" le témoignage indirect de N.________ alors que, notamment, elle s'est abstenue d'interroger amplement sa fille au sujet de l'acte incriminé, et que leurs déclarations ne concordent pas. N.________ a précisé, en cours d'enquête, que son amant avait massé sa fille sur les fesses et sur les jambes (PV aud. 3). Devant le premier juge, elle a dit que sa fille n'avait pas pu inventer les faits, qu'elle la sentait atteinte dans son intimité, qu'elle s'en voulait d'avoir confié les clés de son logis à Z.________ et d'avoir laissé les choses aller si loin (jugement p. 8). Ainsi, contrairement à ce que plaide l'appelant, les dires de [...] confortent les plaintes de la victime. Il en est d'ailleurs de même des propos du prévenu qui a reconnu avoir eu une discussion avec [...] au sujet d’un acte inadéquat qu'il aurait commis vis-à-vis de L.________ (jugement p. 10). Le grief est infondé.</w:t>
      </w:r>
    </w:p>
    <w:p>
      <w:r>
        <w:rPr>
          <w:b/>
        </w:rPr>
        <w:t>E. 2.5</w:t>
      </w:r>
    </w:p>
    <w:p>
      <w:r>
        <w:t>L'appelant estime, tout bien considéré, que les éléments corroborant la thèse de la victime sont faibles et ne remettent pas en cause sa position. A tout le moins, le premier juge devait-il admettre la persistance de doutes sérieux et renoncer à toute condamnation. Or plusieurs éléments accréditent la thèse de L.________. Son discours est constant, sobre, nuancé, dénué de rancune. Elle ne veut pas accabler l'appelant. Elle a renoncé à déposer plainte ou à le dénoncer aux autorités. L'appelant lui-même admet avoir eu une discussion avec N.________ qui "[…]lui avait trouvé à redire[…]" et lui avait demandé de ne pas retourner dans la chambre de sa fille. La mère de la victime la sent atteinte dans son intimité. La demi-sœur de la victime, qui est sa principale confidente, a déclaré que, le jour de faits, elle avait été appelée par sa sœur qui pleurait et disait qu'elle ne voulait plus que Z.________ lui masse le dos, qu'il fallait que ça cesse. Enfin, le passé judiciaire de ce prévenu montre qu'il peut avoir des gestes déplacés à l'égard des jeunes filles. Sur ces bases qui ne laissent aucune place au doute, la cour de céans a acquis l'intime conviction que les faits se sont déroulés comme décrits par L.________. Le jugement attaqué ne néglige aucun de ces aspects (jugement, pp. 8, 10, 19, 20 et 21) et parvient aux mêmes conclusions. Dans ces conditions, il pouvait être renoncé à l'audition du témoin indirect [...] (TF 1B_449/2011 du 20 septembre 2011 c. 2.1 et réf. cit. in CAPE 5 septembre 2012/222, c. 3.2.3), car elle était superfétatoire (art. 139 al. 1 et 2 CPP). En définitive, l'état de fait de l'autorité de première instance ne prête pas le flanc à la critique, et doit être confirmé. L'appel de Z.________ apparaît donc mal fondé sur ce point.</w:t>
      </w:r>
    </w:p>
    <w:p>
      <w:r>
        <w:rPr>
          <w:b/>
        </w:rPr>
        <w:t>E. 3</w:t>
      </w:r>
    </w:p>
    <w:p>
      <w:r>
        <w:t>L’appelant se prévaut d'une violation de l’art. 191 CPL.________</w:t>
      </w:r>
    </w:p>
    <w:p>
      <w:r>
        <w:rPr>
          <w:b/>
        </w:rPr>
        <w:t>E. 3.1</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119 IV 230 c. 3a p. 232 relatif à l'ancien art. 189 CP). La jurisprudence a encore admis qu’à défaut de perception visuelle des actes de l’auteur, seules demeurent les sensations corporelles au niveau génital, lesquelles ne permettent aux victimes de réagir qu’à un stade où l’auteur est sur le point d’abuser d’elles (ATF 133 IV 49; JT 2009 IV 10). Enfin, il peut y avoir application de l’art. 191 CP lorsque, dans le cadre d’une relation de confiance et alors que la victime n’a aucune raison d’être sur ses gardes, elle a été prise au dépourvu par les agissements de son thérapeute et, sous l’effet de la surprise, incapable d’y résister et de s’y opposer (TF 6B_920/2009 du 18 février 2010, c. 3). Sur le plan subjectif, l’art. 191 CP exige encore que l’auteur ait agi avec conscience et volonté, y compris qu’il ait eu conscience de l’incapacité de résistance de sa victime. Le dol éventuel est punissable.</w:t>
      </w:r>
    </w:p>
    <w:p>
      <w:r>
        <w:rPr>
          <w:b/>
        </w:rPr>
        <w:t>E. 3.2</w:t>
      </w:r>
    </w:p>
    <w:p>
      <w:r>
        <w:t>En l'espèce, Z.________ est entré dans la chambre de L.________ qui dormait nue sur le ventre sous son duvet. S'étant réveillée, la victime est restée dans cette position, sans contact visuel avec l'intéressé. Z.________ s'est assis sur le lit, a retiré un bout du duvet et a dit à L.________ qu'il allait lui masser le dos en lui demandant si elle aimait ça. Elle a répondu par l'affirmative. Le prévenu lui a alors caressé tout l'arrière du corps, notamment les fesses et l'entrejambe. Surprise et pétrifiée, la jeune fille n'a pas réagi; elle est restée sans bouger en attendant que son beau-père s'en aille, ce qu'il a fini par faire. Elle ne pouvait pas s’attendre à un tel acte, car le prévenu était un proche et elle avait confiance en lui. Elle ne le regardait pas. Le geste incriminé a été furtif. La victime n'a pas pu s’y opposer avant qu’il ne soit consommé. La surprise et la rapidité du geste fondent l'incapacité de résistance. L'élément objectif de l'infraction à l'art. 191 CP est donc réalisé. En outre, le prévenu savait ou devait savoir que L.________ serait surprise, et ne serait pas en mesure de s'opposer à son geste (notamment parce qu'elle s'attendait à un massage du dos). Enfin, il n'avait aucune raison – autre que sexuelle – de toucher l'entrejambe de L.________. L'élément subjectif est également réalisé. Le premier juge n'a donc pas violé le droit fédéral en reconnaissant Z.________ coupable d'acte d'ordre sexuel avec une personne incapable de discernement ou de résistance.</w:t>
      </w:r>
    </w:p>
    <w:p>
      <w:r>
        <w:rPr>
          <w:b/>
        </w:rPr>
        <w:t>E. 4</w:t>
      </w:r>
    </w:p>
    <w:p>
      <w:r>
        <w:t>Il s'ensuit que l'appel de Z.________ est en tous points mal fondé et doit être rejeté, ce qui entraîne le rejet de la demande d'indemnité pour tort moral de l'art. 429 CPP formulée aux débats d'appel. Appel joint du Ministère public</w:t>
      </w:r>
    </w:p>
    <w:p>
      <w:r>
        <w:rPr>
          <w:b/>
        </w:rPr>
        <w:t>E. 5</w:t>
      </w:r>
    </w:p>
    <w:p>
      <w:r>
        <w:t>Le Parquet conteste la peine infligée, qu'il juge trop clémente. Il considère que seule une peine privative de liberté de six mois avec sursis pendant trois ans serait suffisamment dissuasive pour ce prévenu dont la situation économique ne permet pas l'exécution d'une peine pécuniaire. Une amende de 1'000 fr. devait en outre lui être infligée à titre de sanction immédiate.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TF 6B_759/2011 du 19 avril 2012 c. 1.1). Les condamnations qui ont été éliminées du casier judiciaire ne peuvent plus être utilisées pour l'appréciation de la peine ou l'octroi du sursis dans le cadre d'une nouvelle procédure pénale (ATF 135 IV 87 c. 2). Dans la conception de la nouvelle partie générale du Code pénal, la peine pécuniaire constitue la sanction principale. Les peines privatives de liberté ne doivent être prononcées que lorsque l'Etat ne peut garantir d'une autre manière la sécurité publique. Pour choisir la nature de la peine, le juge doit prendre en considération l'opportunité de la sanction déterminée, ses effets sur l'auteur et son milieu social, ainsi que son efficacité préventive (ATF 134 IV 97 c. 4; arrêt 6B_234/2010 du 4 janvier 2011 c. 4.1.1). Une peine pécuniaire peut être exclue pour des motifs de prévention spéciale (TF du 14 juin 2011, 6B_128/2011, c. 3.4) ou si elle n'est pas exécutable parce qu'elle prive le prévenu du nécessaire, voire de l'indispensable (ATF 134 IV 97 c. 5.2.3).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Le droit au sursis s'examine selon les critères posés par l'art. 42 CP, qui ont été rappelés dans l'arrêt publié aux ATF 135 IV 180 c. 2.1. Il y est renvoyé. Le sursis est désormais la règle dont on ne peut s'écarter qu'en présence d'un pronostic défavorable. Il prime en cas d'incertitude (ATF 134 IV 5 c. 4.2.2). L'art. 42 al. 4 CP prévoit que le juge peut prononcer, en plus du sursis, une peine pécuniaire sans sursis ou une amende selon l'art. 106 CP.</w:t>
      </w:r>
    </w:p>
    <w:p>
      <w:r>
        <w:rPr>
          <w:b/>
        </w:rPr>
        <w:t>E. 5.2</w:t>
      </w:r>
    </w:p>
    <w:p>
      <w:r>
        <w:t>A la charge de Z.________, on retiendra que sa faute est grave, même si l'acte en lui-même ne l'est pas trop. Le prévenu s'en est pris à l'intégrité sexuelle d'une personne proche encore adolescente, et n'a pas hésité à trahir la confiance qu'elle avait en lui. A la décharge du prévenu, on relèvera que l'acte incriminé est ancien, isolé et bref, que ses dénégations ne s’accompagnent d'aucun dénigrement de la victime, d'aucun propos minimisant la gravité de l’accusation, et qu'une simple mise au point de la mère a suffi à l'arrêter, ce qui montre une certaine prise de conscience. Ne sont, en revanche, pas des éléments à décharge les problèmes conjugaux, la jeunesse difficile de l'appelant et sa situation économique obérée. Le prévenu ne prétend d'ailleurs pas qu'une faiblesse passagère l’aurait amené à prodiguer un massage qu’il aurait refusé en temps ordinaire. Au vu des éléments à charge et à décharge, une peine de quatre mois est adéquate. Elle peut être assortie d'un sursis, le pronostic n'étant pas défavorable. Le principe du sursis et la durée du délai d'épreuve (3 ans) ne sont pas remis en cause par le Ministère public et sont en outre conformes à l'art. 44 CP.</w:t>
      </w:r>
    </w:p>
    <w:p>
      <w:r>
        <w:rPr>
          <w:b/>
        </w:rPr>
        <w:t>E. 5.3</w:t>
      </w:r>
    </w:p>
    <w:p>
      <w:r>
        <w:t>Une peine privative de liberté d'une durée inférieure à six mois avec sursis n'est pas possible (art. 41 CP). Un travail d'intérêt général n'entrant pas en ligne de compte, seule une peine pécuniaire peut être envisagée. Une telle sanction est exécutable même si la situation économique du prévenu est précaire, car qu'elle ne prive pas ce dernier du nécessaire, voire de l'indispensable (ATF 134 IV 97 c. 5.2.3). Cette question se pose d'autant moins que la peine est suspendue pendant trois ans. Une peine pécuniaire paraît en outre suffisamment dissuasive dans le cas de Z.________, car ce dernier a commis un acte isolé et une seule mise au point avec la mère de la victime a suffi à l'amender. Selon l'art. 34 al. 2 2ème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Enfin, le minimum vital visé par l'art. 34 al. 2 2ème phrase CP ne correspond pas à celui du droit des poursuites, sauf quoi un cercle étendu de la population serait exclu de la peine pécuniaire, ce qui n'est précisément pas la volonté du législateur (TF 6B_1/2012 du 18 avril 2012 c. 2.2.1). La valeur du jour-amende peut être fixée à 30 fr. au vu de la situation économique de l'intéressé au moment du jugement (ATF 116 IV 4 c. 3a). A titre de sanction immédiate, une amende de 750 fr. est proportionnée à la faute commise (art. 106 CP). En cas de non-exécution fautive, cette peine sera convertie en une peine privative de liberté de 25 jours, soit conformément aux règles en vigueur (ATF 135 IV 188 c. 3.4.4), à un taux de conversion représentant un cinquième de la peine principale comptée en francs et en jours. La peine fixée par le premier juge est justifiée et doit être confirmée, ce qui entraîne le rejet de l'appel joint du Ministère public.</w:t>
      </w:r>
    </w:p>
    <w:p>
      <w:r>
        <w:rPr>
          <w:b/>
        </w:rPr>
        <w:t>E. 6</w:t>
      </w:r>
    </w:p>
    <w:p>
      <w:r>
        <w:t>Il reste à fixer les frais et les indemnités de seconde instance.</w:t>
      </w:r>
    </w:p>
    <w:p>
      <w:r>
        <w:rPr>
          <w:b/>
        </w:rPr>
        <w:t>E. 6.1</w:t>
      </w:r>
    </w:p>
    <w:p>
      <w:r>
        <w:t>Les frais d'appels se montent à 2'240 francs. L'indemnité d'office due à Me Yann Jaillet est fixée à 1'712 fr. 90 sur la base de la liste des opérations et débours qu'il a produite. Le total des frais et indemnités de seconde instance se monte donc à 3'952 fr. 90 (soit, 2'240 fr. + 1'712 fr. 90).</w:t>
      </w:r>
    </w:p>
    <w:p>
      <w:r>
        <w:rPr>
          <w:b/>
        </w:rPr>
        <w:t>E. 6.2</w:t>
      </w:r>
    </w:p>
    <w:p>
      <w:r>
        <w:t>Vu le sort des appels, le prévenu supportera les deux tiers des frais d’appel, soit 2'635 fr. 25. Le solde, par 1'317 fr. 65, est laissé à la charge de l'Etat (art. 428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