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329 vom 7. August 2012</w:t>
      </w:r>
    </w:p>
    <w:p>
      <w:r>
        <w:t>VD Tribunal cantonal, 2012-08-07, FR</w:t>
      </w:r>
    </w:p>
    <w:p>
      <w:r>
        <w:rPr>
          <w:b/>
        </w:rPr>
        <w:t xml:space="preserve">Quelle: </w:t>
      </w:r>
      <w:r>
        <w:t>https://mcp.opencaselaw.ch/entscheid/vd_findinfo_Jug___2012___329</w:t>
      </w:r>
    </w:p>
    <w:p>
      <w:r>
        <w:t>FR: VD_FINDINFO Jug / 2012 / 329 du 7 août 2012</w:t>
      </w:r>
    </w:p>
    <w:p>
      <w:r>
        <w:t>IT: VD_FINDINFO Jug / 2012 / 329 del 7 agosto 2012</w:t>
      </w:r>
    </w:p>
    <w:p>
      <w:pPr>
        <w:pStyle w:val="Heading2"/>
      </w:pPr>
      <w:r>
        <w:t>Regeste</w:t>
      </w:r>
    </w:p>
    <w:p>
      <w:r>
        <w:t>CONSOMMATION DE STUPÉFIANTS, COMMERCE DE STUPÉFIANTS, PEINE PRIVATIVE DE LIBERTÉ | 106 CP, 19 LStup</w:t>
      </w:r>
    </w:p>
    <w:p>
      <w:pPr>
        <w:pStyle w:val="Heading2"/>
      </w:pPr>
      <w:r>
        <w:t>Erwägungen</w:t>
      </w:r>
    </w:p>
    <w:p>
      <w:r>
        <w:rPr>
          <w:b/>
        </w:rPr>
        <w:t>E. 1</w:t>
      </w:r>
    </w:p>
    <w:p>
      <w:r>
        <w:t>Interjeté dans les forme et délai légaux par une partie ayant la qualité pour recourir contre le jugement d’un tribunal de première instance qui a clos la procédure (art. 398 al. 1 CPP), l'appel de S.________ est recevable. Il y a donc lieu d'entrer en matière sur le fond.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cependant la procédure préliminaire et la procédure de première instance. La juridiction d'appel administre, d'office ou à la demande d'une partie, les preuves complémentaires nécessaires au traitement de l'appel (art. 389 al.</w:t>
      </w:r>
    </w:p>
    <w:p>
      <w:r>
        <w:rPr>
          <w:b/>
        </w:rPr>
        <w:t>E. 3</w:t>
      </w:r>
    </w:p>
    <w:p>
      <w:r>
        <w:t>S.________ ne conteste ni les faits retenus, ni leur qualification juridique, limitant son appel à la quotité de la peine prononcée à son encontre. Il soutient avoir "pris conscience de l'importance de ne pas porter atteinte aux biens d'autrui" et ajoute s'être abstenu de toute infraction contre le patrimoine depuis les faits qui sont l'objet de sa dernière condamnation le 16 novembre 2011. Il explique avoir cédé à la tentation de faire le commerce de drogue à la suite de sollicitations de consommateurs de marijuana qui voyaient en lui un vendeur potentiel. Il ajoute s'être résolu à se lancer dans le trafic de produit stupéfiant car il ne voyait pas d'autre solution pour subvenir à ses besoins les plus essentiels et pour payer un coûteux traitement hormonal.</w:t>
      </w:r>
    </w:p>
    <w:p>
      <w:r>
        <w:rPr>
          <w:b/>
        </w:rPr>
        <w:t>E. 3.1</w:t>
      </w:r>
    </w:p>
    <w:p>
      <w:r>
        <w:t>a)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 En matière d'infraction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Il n'est en revanche pas admissible de retenir le poids de la drogue comme seul élément d'appréciation, ce critère n'ayant aucune prédominance parmi les critères que le juge se doit de prendre en considération (Favre, Pellet et Stoudmann, Code pénal annoté, 3 ème éd., Lausanne 2007, n. 1.29 ad art. 47 CP). b)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En cas de concours rétrospectif partiel, soit lorsque parmi plusieurs infractions à juger, l'une au moins a été commise avant d'autres jugées précédemment, il faut d'abord déterminer celle pour laquelle la loi prévoit la peine la plus grave. Lorsque l'infraction la plus grave à juger est celle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(ATF 116 IV 14 d. 2b et les références citées, ces principes développés sous l'ancien droit demeurent applicables après l'entrée en vigueur de la nouvelle partie générale du Code pénal; TF 6B_685/2010 du 4 avril 2011).</w:t>
      </w:r>
    </w:p>
    <w:p>
      <w:r>
        <w:rPr>
          <w:b/>
        </w:rPr>
        <w:t>E. 3.2</w:t>
      </w:r>
    </w:p>
    <w:p>
      <w:r>
        <w:t>En l'occurrence, les faits reprochés à S.________ dans la présente cause se sont produits en partie avant et en partie après sa dernière condamnation prononcée le 16 novembre 2011 par le Ministère public de l'arrondissement du Nord vaudois, de sorte que la peine prononcée est partiellement complémentaire à sa condamnation du 16 novembre 2011. Le premier juge a condamné S.________ à une peine privative de liberté de dix mois ainsi qu'à une amende de 500 fr. sanctionnant la contravention à la LStup, la peine privative de liberté de substitution en cas de non paiement fautif étant arrêtée à cinq jours. Le premier juge a retenu que la culpabilité de S.________ est lourde, en particulier au regard de ses antécédents. L'appelant a débuté son activité délictueuse quelques mois seulement après son arrivée en Suisse, sa première condamnation inscrite au casier judiciaire sanctionnant des vols commis dès le mois de janvier 2004. Ainsi, entre 2004 et 2011, l'appelant a fait l'objet d'onze condamnations, notamment pour vol s'agissant de neuf d'entre elles. A chaque fois, il a été condamné à des peines d'emprisonnement ou, dès 2007, à des peines privatives de liberté de 20 jours à huit mois. La dernière condamnation date du 16 novembre 2011, alors que l'appelant s'adonnait déjà au trafic de marijuana qui fait l'objet de la présente cause. Le Tribunal de police a relevé qu'aucune condamnation n'avait dissuadé l'appelant à reconsidérer son comportement illégal, qu'il a justifié par la nécessité de gagner de l'argent pour vivre et pour payer un traitement médical suivi auprès d'un médecin à Paris. A charge, il a également été retenu que l'activité délictuelle a porté sur une quantité non négligeable de drogue, S.________ ayant vendu entre 1,5 et 2,5 kg de marijuana et s'apprêtant à en vendre 1,887 kilos. A décharge, le premier juge a tenu compte de la situation personnelle de S.________, ainsi que du fait qu'il s'était relativement bien expliqué sur les actes qui lui étaient reprochés (jgt., consid. 4). La Cour de céans reprend à son compte l'analyse du premier juge. En effet, l'appelant a de lourds antécédents, pour un total d'environ 34 mois de peines privatives de liberté. Les faits qui lui sont reprochés consistent notamment à avoir acheté entre trois et quatre kilos de marijuana pour un montant évalué à 28'500 fr. et 38'000 fr. et d'avoir, sur ces quantités, revendu entre 1,5 et 2,5 kilos pour un montant minimum oscillant entre 18'750 fr. et 31'250 francs. En outre, la perquisition de son appartement a permis de saisir 1,887 kilos de marijuana destinés à la vente. L'appelant s'est notamment contredit sur la date à laquelle il prétend avoir cessé de consommer de la drogue, indiquant dans un premier temps qu'il consomme toujours de la marijuana à raison de deux joints par jour et qu'il fait encore "un petit peu de trafic de marijuana pour vivre" (jgt., p. 3) pour ensuite affirmer qu'il a cessé toute consommation depuis le 14 juillet 2012 (jgt., p. 9). C'est donc à raison que le premier juge a retenu que l'appelant ne semble pas vouloir modifier son comportement récurrent illégal. La Cour de céans relève que tant en première instance qu'aux débats d'appel, l'appelant n'a pas été en mesure de montrer la moindre perspective d'avenir dans une activité rémunérée licite. Au vu de ce qui précède, l'art. 47 CP n'a en aucune manière été violé. La quotité de la peine arrêtée à dix mois de privation de liberté est au surplus adéquate au regard de la gravité et de l'intensité des infractions commises, de la culpabilité de l’appelant et de sa situation personnelle. Elle doit dès lors être confirmée et l'appel être rejeté.</w:t>
      </w:r>
    </w:p>
    <w:p>
      <w:r>
        <w:rPr>
          <w:b/>
        </w:rPr>
        <w:t>E. 4</w:t>
      </w:r>
    </w:p>
    <w:p>
      <w:r>
        <w:t>En définitive, l'appel de S.________ est rejeté et le jugement rendu par le Tribunal de police de l'arrondissement de La Broye et du Nord vaudois est intégralement confirmé.</w:t>
      </w:r>
    </w:p>
    <w:p>
      <w:r>
        <w:rPr>
          <w:b/>
        </w:rPr>
        <w:t>E. 5</w:t>
      </w:r>
    </w:p>
    <w:p>
      <w:r>
        <w:t>Vu l'issue de la cause, les frais d'appel, par 1'280 fr. (art. 21 al. 1 et 2 TFJP [Tarif des frais judiciaires pénaux du 28 septembre 2010, RSV 312.03.1]), doivent être mis à la charge de S.________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