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325 vom 6. Dezember 2012</w:t>
      </w:r>
    </w:p>
    <w:p>
      <w:r>
        <w:t>VD Tribunal cantonal, 2012-12-06, FR</w:t>
      </w:r>
    </w:p>
    <w:p>
      <w:r>
        <w:rPr>
          <w:b/>
        </w:rPr>
        <w:t xml:space="preserve">Quelle: </w:t>
      </w:r>
      <w:r>
        <w:t>https://mcp.opencaselaw.ch/entscheid/vd_findinfo_Jug___2012___325</w:t>
      </w:r>
    </w:p>
    <w:p>
      <w:r>
        <w:t>FR: VD_FINDINFO Jug / 2012 / 325 du 6 décembre 2012</w:t>
      </w:r>
    </w:p>
    <w:p>
      <w:r>
        <w:t>IT: VD_FINDINFO Jug / 2012 / 325 del 6 dicembre 2012</w:t>
      </w:r>
    </w:p>
    <w:p>
      <w:pPr>
        <w:pStyle w:val="Heading2"/>
      </w:pPr>
      <w:r>
        <w:t>Regeste</w:t>
      </w:r>
    </w:p>
    <w:p>
      <w:r>
        <w:t>RELATIONS PERSONNELLES | 273 CC, 399 CPC</w:t>
      </w:r>
    </w:p>
    <w:p>
      <w:pPr>
        <w:pStyle w:val="Heading2"/>
      </w:pPr>
      <w:r>
        <w:t>Erwägungen</w:t>
      </w:r>
    </w:p>
    <w:p>
      <w:r>
        <w:rPr>
          <w:b/>
        </w:rPr>
        <w:t>E. 1</w:t>
      </w:r>
    </w:p>
    <w:p>
      <w:r>
        <w:t>a) Le recours est dirigé contre une décision modifiant les modalités du droit de visite d’un père sur son fils mineur, dont l’autorité parentale et la garde appartiennent à la mère (art. 273 ss CC). b/aa) Conformément à la jurisprudence du Tribunal fédéral, la question des relations personnelles avec un enfant mineur constitue une matière non contentieuse (ATF 118 Ia 473 c. 2, JT 1995 I 523). Contre les décisions en matière de relations personnelles, le recours non contentieux de l'art. 420 al. 2 CC est ainsi ouvert à la Chambre des tutelles (Schwenzer, Basler Kommentar, 4 e éd., 2010, n. 6 ad art. 275 CC, p. 1484; art. 76 LOJV [loi d'organisation judiciaire du 12 décembre 1979, RSV 173.01]), qu'il s'agisse de mesures d'urgence (Poudret/Haldy/Tappy, Procédure civile vaudoise,</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 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JT 2005 I 2002; ATF 118 II 21 c. 3c, JT 1995 I 548; TF 5A_448/2008 du 2 octobre 2008 c. 4.1; TF 5P.131/2006 du 25 août 2006, publié in FamPra 2007 p. 167).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qui ne peut être ordonnée que si le bien de l'enfant l'exige impérieusement et qu'il est impossible de trouver une réglementation du droit de visite qui sauvegarde ses intérêts. Ainsi, la violation par les parents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(Hegnauer, op. cit., n. 9.20, p. 116; TF 5P.131/2006 du 25 août 2006, précité). b) En l'espèce, la recourante se dit très inquiète lorsque B.H.________ se rend chez son père. Elle fait valoir, en se fondant sur la lettre, non datée, de la Dresse [...], laquelle suit l'enfant depuis le 17 novembre 2010, que les visites ne devraient augmenter que très progressivement dans leur durée et pour autant qu'elles se déroulent bien. Il ressort toutefois de son mémoire que la recourante se fait plus d'inquiétude à propos du lieu où s'exerce le droit de visite du père, spécialement durant la saison froide (cf. recours, all. 42 à 51), que de la fréquence de ces visites, même si elle insiste sur le fait que l'élargissement du droit de visite doit se faire progressivement et ne pas brûler les étapes (cf. recours, all. 56). A la lire, le régime tel qu'institué par l'ordonnance de mesures provisionnelles du 30 janvier 2012, à savoir un samedi sur deux pourrait être maintenu (cf. recours, all. 52) et même étendu à toute la journée "pour autant que le nouveau lieu [d'habitation de l'intimé] soit déclaré adéquat pour l'enfant B.H.________" (cf. recours, conclusion III). L'intimé, pour sa part, reconnaît que la ferme d’alpage, dans laquelle il exerçait l’été dernier son droit de visite, n’est pas une "habitation adéquate pour recevoir des enfants durant l’hiver". Il annonce cependant qu'il vit actuellement chez son amie à La Corbaz (FR) et devrait emménager prochainement dans un appartement à Arconciel (FR) (cf. mémoire d'intimé, all. 119 à 122). c) On infère des déclarations de l'intimé, tant lors de l'audience du 16 août 2012 devant la Justice de paix que dans son mémoire du 29 octobre 2012, qu’il est un père responsable, qui ne va pas exposer inutilement son enfant aux caprices du temps ou l’emmener, lors de l’exercice de son droit de visite, dans un lieu inadéquat. Cela est du reste confirmé par le SPJ, dont la représentante, après avoir visité l’endroit où habitait l’intimé avec son autre enfant, a souligné lors de l’audience précitée que l’intimé était un père attentif et attentionné, que ses compétences parentales étaient adéquates et qu’il n’existait pas de contre-indication à un élargissement du droit de visite. La représentante du SPJ a également relevé que l’intimé n’était pas livré à lui-même dans son rôle éducatif, puisqu’il bénéficie de l’aide à la fois du SPJ vaudois pour ce qui est de ses relations personnelles avec B.H.________ et du SPJ fribourgeois dans l’éducation de son autre fils [...] dont il a la garde. Si le médecin qui suit B.H.________ a préconisé un élargissement progressif du droit de visite dans sa durée, on doit considérer que la première étape constituée par les modalités prévues dans l'ordonnance de mesures provisionnelles du 30 janvier 2012 ayant donné des résultats positifs, il est adéquat de prévoir, dans une seconde étape, un droit plus large, tel qu’octroyé dans la décision attaquée à un week-end sur deux, à la moitié des vacances scolaires et à la moitié des fêtes selon la clé de répartition usuelle. En tous les cas, la recourante ne démontre d’aucune manière en quoi l’avis de l'autorité tutélaire selon lequel rien ne s’oppose, en l’état, à ce que l’intimé puisse exercer à l’avenir son droit de visite selon les modalités qui précèdent consacrerait une atteinte au bien-être de l’enfant.</w:t>
      </w:r>
    </w:p>
    <w:p>
      <w:r>
        <w:rPr>
          <w:b/>
        </w:rPr>
        <w:t>E. 4</w:t>
      </w:r>
    </w:p>
    <w:p>
      <w:r>
        <w:t>a) En définitive, le recours interjeté par A.H.________ doit être rejeté et la décision entreprise confirmée. b) Le présent 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c) Par décisions des 2 octobre et 22 novembre 2012,  A.H.________ et S.________ ont été mis au bénéfice de l'assistance judiciaire. La loi vaudoise du 24 novembre 1981 sur l'assistance judiciaire en matière civile (LAJ) a été abrogée dès l'entrée en vigueur du CDPJ (art. 173 CDPJ), soit dès le 1 er janvier 2011. Depuis cette date, il faut donc considérer que les questions relatives à l'assistance judiciaire sont, dans les procédures relatives à la protection de l’enfant, à l’interdiction et à la mainlevée de cette mesure, ainsi qu'à la privation de liberté à des fins d'assistance, qui demeurent soumises aux dispositions du CPC-VD, régies par les art. 117 à 123 CPC, applicables à titre supplétif (JT 2011 III 150 ; CTUT 18 juillet 2011/143 c. 2a).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A cet égard, le juge apprécie l'étendue des opérations nécessaires pour la conduite du procès. Il applique le tarif horaire de 180 fr. aux avocats et de 110 fr. aux avocats-stagiaires. Compte tenu de la liste des opérations produite le 27 novembre 2012 par le conseil de l'intimé, Me Jean Heim, lequel indique avoir consacré quatre heures et cinquante-trois minutes à l'accomplissement de son mandat et précise qu'une partie des opérations a été effectuée, sous sa supervision, par son avocat-stagiaire, Me David D. Regamey, il y a lieu de fixer le montant de son indemnité à 550 fr., montant auquel s'ajoutent les débours par 50 fr. et la TVA sur le tout par 48 fr., soit 648 fr. au total. Dans sa liste des opérations produite le 3 décembre 2012, le conseil de la recourante, Me Flore Primault, indique avoir consacré huit heures et vingt minutes à l'accomplissement de sa mission. Compte tenu de l'ampleur de la cause et du travail accompli, ce nombre doit être ramené à cinq heures et trente minutes. Au tarif horaire de 180 fr., son indemnité doit dès lors être fixée à 990 fr., montant auquel s'ajoutent les débours par 15 fr. et la TVA sur le tout par 80 fr. 40, soit 1'085 fr. 40 au total. Les bénéficiaires de l'assistance judiciaire sont, dans la mesure de l'art. 123 CPC, tenus au remboursement de l'indemnité du conseil d'office mise à la charge de l'Etat. Par ces motifs, la Chambre des tutelles du Tribunal cantonal, statuant à huis clos, prononce : I. Le recours est rejeté. II. La décision est confirmée. III. Il n'est pas perçu de frais judiciaires ni alloué de dépens de deuxième instance. IV. L'indemnité d'office de Me Primault, conseil de la recourante A.H.________, est arrêtée à 1'085 fr. 40 (mille huitante-cinq francs et quarante centimes) et celle de Me Heim, conseil de l'intimé S.________, à 648 fr. (six cent quarante-huit francs). V. Les bénéficiaires de l'assistance judiciaire sont, dans la mesure de l'art. 123 CPC, tenus au remboursement de l'indemnité du conseil d'office mise à la charge de l'Etat. VI. L'arrêt motivé est exécutoire. Le président :              La greffière : Du</w:t>
      </w:r>
    </w:p>
    <w:p>
      <w:r>
        <w:rPr>
          <w:b/>
        </w:rPr>
        <w:t>E. 6</w:t>
      </w:r>
    </w:p>
    <w:p>
      <w:r>
        <w:t>décembre 2012 Le dispositif de l'arrêt qui précède est communiqué par écrit aux intéressés. La greffière : Du L'arrêt qui précède, dont la rédaction a été approuvée à huis clos, est notifié à : ‑ Me Flore Primault (pour A.H.________), ‑ Jean Heim (pour S.________), - Service de protection de la jeunesse, et communiqué à : ‑ Justice de paix du district de Lavaux - 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