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318 vom 19. November 2010</w:t>
      </w:r>
    </w:p>
    <w:p>
      <w:r>
        <w:t>VD Tribunal cantonal, 2010-11-19, FR</w:t>
      </w:r>
    </w:p>
    <w:p>
      <w:r>
        <w:rPr>
          <w:b/>
        </w:rPr>
        <w:t xml:space="preserve">Quelle: </w:t>
      </w:r>
      <w:r>
        <w:t>https://mcp.opencaselaw.ch/entscheid/vd_findinfo_Jug___2012___318</w:t>
      </w:r>
    </w:p>
    <w:p>
      <w:r>
        <w:t>FR: VD_FINDINFO Jug / 2012 / 318 du 19 novembre 2010</w:t>
      </w:r>
    </w:p>
    <w:p>
      <w:r>
        <w:t>IT: VD_FINDINFO Jug / 2012 / 318 del 19 novembre 2010</w:t>
      </w:r>
    </w:p>
    <w:p>
      <w:pPr>
        <w:pStyle w:val="Heading2"/>
      </w:pPr>
      <w:r>
        <w:t>Regeste</w:t>
      </w:r>
    </w:p>
    <w:p>
      <w:r>
        <w:t>ASSASSINAT, BRIGANDAGE, FIXATION DE LA PEINE, CONCOURS D'INFRACTIONS | 112 CP, 47 CP, 49 CP, 107 LTF</w:t>
      </w:r>
    </w:p>
    <w:p>
      <w:pPr>
        <w:pStyle w:val="Heading2"/>
      </w:pPr>
      <w:r>
        <w:t>Erwägungen</w:t>
      </w:r>
    </w:p>
    <w:p>
      <w:r>
        <w:rPr>
          <w:b/>
        </w:rPr>
        <w:t>E. 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(B. Corboz, in: Commentaire de la LTF, Berne 2009, ch. 27 ad art. 107 LTF).</w:t>
      </w:r>
    </w:p>
    <w:p>
      <w:r>
        <w:rPr>
          <w:b/>
        </w:rPr>
        <w:t>E. 2</w:t>
      </w:r>
    </w:p>
    <w:p>
      <w:r>
        <w:t>Dans son arrêt du 29 juin 2012, le Tribunal fédéral a considéré que la Cour de cassation pénale du Tribunal cantonal avait violé l'art. 47 CP en condamnant B.________ à une peine privative de liberté à vie. Il a estimé que l'ensemble des éléments retenus par la Cour cantonale dans le cadre de la fixation de la peine justifiait sans contexte une peine privative de liberté d'une durée se situant dans la partie supérieure du cadre légal, mais le fait qu'il s'agissait également de réprimer un ensemble de crimes et de délits commis par le recourant avant le 29 décembre 2008 (vol, tentative de vol, dommages à la propriété, crime manqué d'extorsion qualifiée et violation de domicile) ne permettait pas de justifier la différence de nature entre les peines infligées aux deux coaccusés. A cet égard, elle a relevé que les aveux spontanés de P.________, ses excuses et ses regrets, son repentir sincère, le fait qu'il ne s'était pas déchaîné sur la victime comme B.________ et son plus jeune âge permettaient certes encore de justifier une différence de 2 à 3 ans, voire 4 ans de privation de liberté pour sanctionner l'assassinat, correspondant ainsi à quelque 18 à 20 ans de privation de liberté en ce qui concerne le comportement de l'appelant en relation avec ce seul crime, mais excluant sous l'angle de la comparaison des sanctions, le prononcé d'une peine privative de liberté à vie.</w:t>
      </w:r>
    </w:p>
    <w:p>
      <w:r>
        <w:rPr>
          <w:b/>
        </w:rPr>
        <w:t>E. 3</w:t>
      </w:r>
    </w:p>
    <w:p>
      <w:r>
        <w:t>Le Tribunal fédéral a invité la Cour cantonale à fixer à nouveau la durée de la peine privative de liberté.</w:t>
      </w:r>
    </w:p>
    <w:p>
      <w:r>
        <w:rPr>
          <w:b/>
        </w:rPr>
        <w:t>E. 3.1</w:t>
      </w:r>
    </w:p>
    <w:p>
      <w:r>
        <w:t>Selon la jurisprudence, l'homicide commis à seule fin de voler (Raubmord) est un cas typique d'assassinat (ATF 127 IV 10 c. 1a; ATF 115 IV 187 c. 2). Dans cette éventualité, le caractère odieux du but justifie déjà que l'homicide soit sanctionné dans le cadre élargi de l'art. 112 CP, pour peu que l'appréciation globale des circonstances ne permette pas de relativiser l'absence de scrupules. A défaut de toute circonstance atténuante légale permettant de descendre en-dessous du minimum de 10 ans prévu par l'art. 112 CP (art. 48a al. 1 CP), une peine située dans les tous premiers échelons de ce cadre (10 à 12 ans) ne peut se justifier que par des circonstances personnelles particulièrement favorables ou d'autres éléments d'appréciation de la culpabilité, faisant apparaître cette dernière comme notablement moins lourde pour un acte grave qui n'en dénote pas moins une absence particulière de scrupules mais pourrait, par exemple, être perçu comme à la limite de l'homicide (art. 111 CP), voire du crime passionnel (art. 113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ATF 129 IV 6 c. 6.1; TF 6B_408/2012 du 1 er novembre 2012 c. 1.1).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 5.6; ATF 134 IV 17 c. 2.1). L'exercice de ce contrôle suppose que le juge exprime, dans sa décision, les éléments essentiels relatifs à l'acte ou à l'auteur qu'il prend en compte, de manière à ce que l'on puisse constater que tous les aspects pertinents ont été pris en considération et comment ils ont été appréciés, que ce soit dans un sens aggravant ou atténuant (art. 50 CP). Il peut passer sous silence les éléments qui, sans abus du pouvoir d'appréciation, lui apparaissent non pertinents ou d'une importance mineure. La motivation doit cependant justifier la peine prononcée, en permettant de suivre le raisonnement adopté même si le juge n'est pas tenu d'exprimer en chiffres ou en pourcentages l'importance qu'il accorde à chacun des éléments qu'il cite (ATF 127 IV 101 c. 2c; TF 6B_408/2012 du 1 er novembre 2012 c. 1.1).</w:t>
      </w:r>
    </w:p>
    <w:p>
      <w:r>
        <w:rPr>
          <w:b/>
        </w:rPr>
        <w:t>E. 3.3</w:t>
      </w:r>
    </w:p>
    <w:p>
      <w:r>
        <w:t>D'après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En cas de concours, l'aggravation de la peine est obligatoire (ATF 103 IV 225, JT 1978 IV 136). Néanmoins, les différentes circonstances atténuantes et aggravantes peuvent se compenser. Il a ainsi été jugé qu'en cas de concours entre un assassinat commis en état de responsabilité restreinte et une autre infraction, la peine privative de liberté à vie pouvait être prononcée (ATF 127 IV 101 c. 2b; ATF 116 IV 300 c. 2a et 2b).</w:t>
      </w:r>
    </w:p>
    <w:p>
      <w:r>
        <w:rPr>
          <w:b/>
        </w:rPr>
        <w:t>E. 3.4</w:t>
      </w:r>
    </w:p>
    <w:p>
      <w:r>
        <w:t>En l'espèce, B.________ s'est rendu coupable de brigandage au sens de l'art. 140 ch. 1 et 2 CP et d'assassinat au sens de l'art. 112 CP, en concours. S'agissant de cette dernière infraction, la façon d'agir de l'appelant met en évidence tant une manière particulièrement odieuse de donner la mort qu'un mobile futile et réalise cumulativement les trois hypothèses prévues par la loi remplissant les conditions de l'absence particulière de scrupules. B.________ s'est en effet associé à un acte primitivement qualifié de brigandage, mais ne peut se prévaloir d'avoir agi par contrainte ou sous l'ascendant de son comparse. Il a battu à mort A.D.________ sous les yeux de sa femme qu'il ne s'était pas privé de molester et de terroriser. Il s'est acharné sur sa victime de façon inutile dès lors qu'elle était âgée et à terre, soit dans l'incapacité de se défendre. Lorsque P.________ a fait part à l'appelant de la maigreur du butin récolté, ce dernier a donné des coups de tournevis dans le fauteuil où se trouvait B.D.________ et s'est acharné à coups de pied sur la tête de A.D.________ qu'il a finalement intentionnellement tué. En agissant de la sorte, l'intéressé a fait preuve d'une froideur affective caractérisée qui rend d'autant plus grave un acte déjà en soi particulièrement répréhensible. La façon d'agir de B.________ est particulièrement cruelle et lâche et démontre le mépris le plus complet pour la vie d'autrui. A cela s'ajoute son mobile particulièrement odieux dont les motivations et les buts se réduisent à l'appât du gain et à la frustration de n'avoir pu obtenir qu'un maigre butin. Sur le plan personnel, l'appelant s'est enferré dans un déni massif, se disant victime d'un complot, ce qui dénote encore une fois une absence totale de scrupules et de prise de conscience de la gravité de ses actes. En effet, comme l'ont relevé les premiers juges, malgré les nombreuses preuves réunies à son encontre en cours d'enquête, l'appelant a nié l'évidence en optant pour un système de défense empreint de lâcheté et de mépris pour ses victimes. Aux débats d'appel, soit près de quatre ans après les faits, l'intéressé a également fait très mauvaise impression, notamment en persistant dans le déni et l'absence totale de prise de conscience. A charge également, il convient de tenir compte de ses antécédents. A décharge, il n'existe aucun élément à prendre en considération, l'expertise psychiatrique faisant en outre état d'une responsabilité pleine et entière. Au final, au vu de l'ensemble des éléments précités, la culpabilité de l'appelant est, comme l'ont relevé à juste titre les premiers juges, extrême.</w:t>
      </w:r>
    </w:p>
    <w:p>
      <w:r>
        <w:rPr>
          <w:b/>
        </w:rPr>
        <w:t>E. 3.5</w:t>
      </w:r>
    </w:p>
    <w:p>
      <w:r>
        <w:t>Enfin, sous l'angle de la comparaison des sanctions infligées aux deux comparses pour le seul crime d'Epalinges, P.________ peut se prévaloir, au contraire de B.________, d'aveux spontanés, d'excuses, de regrets, d'un repentir sincère, du fait qu'il ne s'est pas déchaîné sur la victime et qu'il n'a agi que par dol éventuel, mais aussi de son plus jeune âge et d'un historique de délinquance moins important. Dès lors, sous l'angle de la comparaison des sanctions, le prononcé à l'encontre de l'appelant d'une peine privative de liberté de 18 à 20 ans pour le seul crime d'Epalinges est adéquat.</w:t>
      </w:r>
    </w:p>
    <w:p>
      <w:r>
        <w:rPr>
          <w:b/>
        </w:rPr>
        <w:t>E. 3.6</w:t>
      </w:r>
    </w:p>
    <w:p>
      <w:r>
        <w:t>Au final, au vu de la gravité des infractions en concours retenues contre B.________, de sa culpabilité et de tous les éléments susmentionnés, une peine privative de liberté d'ensemble de 20 ans apparaît justifiée et doit être prononcée, étant précisé que cette peine est partiellement complémentaire à celle prononcée le 11 août 2008 par le Strafbefehlsrichter Basel-Stadt. Au surplus, une amende de 200 fr. doit être prononcée pour sanctionner la contravention à la loi fédérale sur les stupéfiants</w:t>
      </w:r>
    </w:p>
    <w:p>
      <w:r>
        <w:rPr>
          <w:b/>
        </w:rPr>
        <w:t>E. 4</w:t>
      </w:r>
    </w:p>
    <w:p>
      <w:r>
        <w:t>En définitive, l’appel doit être partiellement admis. Vu l'issue de la cause, les frais de la procédure d'appel doivent être mis pour moitié à la charge de B.________ (art. 428 al. 1 CPP). Outre l'émolument, qui se monte à 2'240 fr. (art 422 CPP; art. 21 al. 1 et 2 TFJP [Tarif des frais judiciaires pénaux du 28 septembre 2010, RSV 312.03.1]), ces frais comprennent l'indemnité allouée au défenseur d'office (cf. art. 135 al. 2 et 422 al. 2 let. a CPP, art. 2 al. 2 ch. 1 TFJP). Au vu des opérations effectuées en appel, il se justifie d'arrêter à 2’332 fr. 80, TVA et débours compris, l'indemnité allouée au défenseur d'office de l'appelant. Ce dernier ne sera tenu de rembourser à l’Etat la moitié du montant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