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 vom 23. August 2011</w:t>
      </w:r>
    </w:p>
    <w:p>
      <w:r>
        <w:t>VD Tribunal cantonal, 2011-08-23, FR</w:t>
      </w:r>
    </w:p>
    <w:p>
      <w:r>
        <w:rPr>
          <w:b/>
        </w:rPr>
        <w:t xml:space="preserve">Quelle: </w:t>
      </w:r>
      <w:r>
        <w:t>https://mcp.opencaselaw.ch/entscheid/vd_findinfo_Jug___2012___31</w:t>
      </w:r>
    </w:p>
    <w:p>
      <w:r>
        <w:t>FR: VD_FINDINFO Jug / 2012 / 31 du 23 août 2011</w:t>
      </w:r>
    </w:p>
    <w:p>
      <w:r>
        <w:t>IT: VD_FINDINFO Jug / 2012 / 31 del 23 agosto 2011</w:t>
      </w:r>
    </w:p>
    <w:p>
      <w:pPr>
        <w:pStyle w:val="Heading2"/>
      </w:pPr>
      <w:r>
        <w:t>Regeste</w:t>
      </w:r>
    </w:p>
    <w:p>
      <w:r>
        <w:t>VOL{DROIT PÉNAL}, PAR MÉTIER, PEINE PRIVATIVE DE LIBERTÉ | 139 ch. 1 CP, 139 ch. 2 CP, 40 CP, 47 CP, 50 CP, 51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 dans les formes et délai légaux (cf. art. 399 CPP) contre le jugement d’un tribunal de première instance qui a clos la procédure (art. 398 al. 1 CPP), l'appel de N.________,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N.________ conteste en partie les faits retenus par le premier juge. Il considère que ce dernier a conclu à tort à son implication dans le vol survenu le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Un faisceau d'indices peut toutefois suffire (Piquerez/Macaluso, Procédure pénale suisse, 3 ème éd., 2011, n. 574).</w:t>
      </w:r>
    </w:p>
    <w:p>
      <w:r>
        <w:rPr>
          <w:b/>
        </w:rPr>
        <w:t>E. 3.2</w:t>
      </w:r>
    </w:p>
    <w:p>
      <w:r>
        <w:t>En l'occurrence, il n'y a certes pas de preuve matérielle proprement dite ou de témoignage direct s'agissant du vol commis le 5 novembre 2010 à la Q.________. Le Tribunal a toutefois fondé sa conviction sur un faisceau d'indices suffisant, à savoir que deux employés de la Q.________ ont déclaré aux débats être certains d'avoir déjà vu l'appelant dans leur établissement comme client, contrairement à ce que ce dernier a affirmé, que durant l'enquête l'appelant avait également contesté de la même manière un vol de bourse commis dans le restaurant C.________ avant de finalement l'admettre, confondu par un prélèvement ADN et qu'enfin, l'appelant se trouvait à proximité de la Q.________ à l'heure incriminée puisqu'il a dérobé une autre bourse de sommelier au [...] de la rue [...] quelques minutes plus tard (cf. jgt., p. 14). Si les éléments sur lesquels reposent la conviction du premier juge peuvent se discuter lorsqu'ils sont pris isolément, l'appelant perd de vue que cette conviction repose sur l'ensemble de ceux-ci, auxquels on peut encore en ajouter un quatrième à savoir que le vol de bourse de sommelier est la spécialité de l'appelant. Au surplus, les deux témoins qui l'ont reconnu ne pouvaient avoir de soupçon au sujet de l'appelant qu'ils ont simplement identifié comme un client de l'établissement concerné, alors que ce dernier a toujours affirmé n'y être jamais allé (cf. jgt., p. 7). Au vu de ce qui précède, la constatation des faits retenue par le premier juge n'est ni incomplète, ni erronée au sens de l'art. 398 CPP. Ce grief, mal fondé, doit être rejeté. 4. N.________ soutient que le premier juge a cumulé à charge la circonstance aggravante du concours et celle du métier, ce qui est contraire à la jurisprudence du Tribunal fédéral ((ATF 116 IV 121 c. 2b). Par son grief, l'appelant fait vraisemblablement allusion au fait que le premier juge a indiqué, dans la motivation relative à la peine, que les infractions commises sont en concours au sens de l'art. 49 al. 1 CP (cf. jgt., p. 16). Cette mention n'est cependant qu'une maladresse rédactionnelle sans conséquence sur la peine. En effet, le premier juge n'a retenu contre l'appelant que l'aggravante du métier pour l'ensemble des vols commis par l'appelant (cf. jgt., p. 13 et 15). Cette circonstance est à l'évidence réalisée, ce que l'appelant ne conteste d'ailleurs pas. Il est en effet sans revenu autre que l'assistance sociale et il a agi à neuf reprises sur une période, hors le premier cas qui date de 2008, d'avril à novembre 2010 pour un butin de 17'850 fr. (sans compter le butin de 2'000 fr. réalisé en 2008), ce qui correspond à plus de 2'200 fr. par mois. Ainsi, dans la mesure où le tribunal n'a retenu que le vol par métier dans son dispositif, ce grief est mal fondé et doit être rejeté. En tout état de cause, à supposer que le premier juge ait retenu à charge le concours d'infractions lors de la fixation de la peine, la Cour d'appel peut revoir librement la sanction (art. 398 al. 2 CPP) selon ce qui sera précisé plus loin, sous chiffre 5.3 et 5.4.</w:t>
      </w:r>
    </w:p>
    <w:p>
      <w:r>
        <w:rPr>
          <w:b/>
        </w:rPr>
        <w:t>E. 5</w:t>
      </w:r>
    </w:p>
    <w:p>
      <w:r>
        <w:t>N.________ estime que le premier juge aurait dû prononcer à son encontre une peine de travail d'intérêt général en lieu et place d'une peine privative de liberté, afin de faciliter sa réinsertion dans la société.</w:t>
      </w:r>
    </w:p>
    <w:p>
      <w:r>
        <w:rPr>
          <w:b/>
        </w:rPr>
        <w:t>E. 5.1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5.2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(TF 6B_128/2011 du 14 juin 2011 c. 3.1; ATF 134 IV 97 c. 4.2.2).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(ATF 134 IV 82 c. 4.1; ATF 134 IV 60 c. 8.2).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(TF 6B_210/2010 du 8 juin 2010 c. 2.2).</w:t>
      </w:r>
    </w:p>
    <w:p>
      <w:r>
        <w:rPr>
          <w:b/>
        </w:rPr>
        <w:t>E. 5.3</w:t>
      </w:r>
    </w:p>
    <w:p>
      <w:r>
        <w:t>En l'occurrence, le premier juge a retenu à charge de N.________ qu'il avait des antécédents et qu'il n'avait pas hésité à récidiver et à mentir alors qu'il faisait l'objet d'une enquête pénale. Il a commis neuf vols pour un butin de près de 20'000 fr., s'en prenant à des travailleurs modestes qui ont dû assumer intégralement la perte financière de leur employeur, seule son arrestation ayant permis de mettre un terme à son activité délictueuse (cf. jgt., p. 16 et 17). Ce genre d'agissement est particulièrement méprisable et dénote d'une absence de scrupules. A décharge, le premier juge a retenu les excuses formulées aux débats et vis-à-vis des personnes lésées, les reconnaissances de dettes signées en leur faveur, ainsi que les remboursements effectués et la volonté manifestée dans ce cadre de réparer les préjudices causés (cf. jgt., p. 17). La circonstance du métier impliquant une peine allant de 90 jours-amende à dix ans de peine privative de liberté (art. 139 al. 2 CP), et compte tenu de ce qui précède, la peine privative de liberté de huit mois prononcée par le premier juge peut être qualifiée de relativement peu sévère et ne procède en tout cas pas d'un abus ou d'un excès de son pouvoir d'appréciation, abstraction faite de toute référence à l'art. 49 al. 1 CP. La quotité de la peine infligée est adéquate au regard des infractions commises, de la culpabilité de l'appelant et de sa situation personnelle. Elle doit être confirmée.</w:t>
      </w:r>
    </w:p>
    <w:p>
      <w:r>
        <w:rPr>
          <w:b/>
        </w:rPr>
        <w:t>E. 5.4</w:t>
      </w:r>
    </w:p>
    <w:p>
      <w:r>
        <w:t>Vu la quotité de la peine prononcée, le travail d'intérêt général réclamé par l'appelant n'entre pas en considération (art. 37 CP). Pour des motifs de prévention spéciale, une peine pécuniaire, au surplus non demandée par l'appelant, n'entre pas en compte non plus. Le grief, mal fondé, doit être rejeté.</w:t>
      </w:r>
    </w:p>
    <w:p>
      <w:r>
        <w:rPr>
          <w:b/>
        </w:rPr>
        <w:t>E. 6</w:t>
      </w:r>
    </w:p>
    <w:p>
      <w:r>
        <w:t>En définitive, l'appel de N.________ est intégralement rejeté et le jugement de première instance confirmé. Vu l'issue de la cause, les frais de la procédure d'appel doivent être mis à la charge de N.________ (art. 428 al. 1 CPP). Outre l'émolument, qui se monte à 1'610 fr. (art. 21 al. 1 et 2 TFJP [Tarif des frais judiciaires pénaux du 28 septembre 2010, RSV 312.03.1]), ces frais comprennent l'indemnité d'office allouée par 664 fr. 80, TVA comprise, au conseil de l'appelant (cf. art. 135 al. 2 et 422 al. 2 let. a CPP, art. 2 al. 2 ch. 1 TFJP). N.________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