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295 vom 13. Juni 2012</w:t>
      </w:r>
    </w:p>
    <w:p>
      <w:r>
        <w:t>VD Tribunal cantonal, 2012-06-13, FR</w:t>
      </w:r>
    </w:p>
    <w:p>
      <w:r>
        <w:rPr>
          <w:b/>
        </w:rPr>
        <w:t xml:space="preserve">Quelle: </w:t>
      </w:r>
      <w:r>
        <w:t>https://mcp.opencaselaw.ch/entscheid/vd_findinfo_Jug___2012___295</w:t>
      </w:r>
    </w:p>
    <w:p>
      <w:r>
        <w:t>FR: VD_FINDINFO Jug / 2012 / 295 du 13 juin 2012</w:t>
      </w:r>
    </w:p>
    <w:p>
      <w:r>
        <w:t>IT: VD_FINDINFO Jug / 2012 / 295 del 13 giugno 2012</w:t>
      </w:r>
    </w:p>
    <w:p>
      <w:pPr>
        <w:pStyle w:val="Heading2"/>
      </w:pPr>
      <w:r>
        <w:t>Regeste</w:t>
      </w:r>
    </w:p>
    <w:p>
      <w:r>
        <w:t>VIOLATION DES RÈGLES DE LA CIRCULATION, CONSTATATION DES FAITS, EXCÈS ET ABUS DU POUVOIR D'APPRÉCIATION | 42 CP, 47 CP, 90 ch. 2 LCR, 140 CPP (CH), 398 al. 2 CPP (CH), 398 al. 3 let. a CPP (CH)</w:t>
      </w:r>
    </w:p>
    <w:p>
      <w:pPr>
        <w:pStyle w:val="Heading2"/>
      </w:pPr>
      <w:r>
        <w:t>Erwägungen</w:t>
      </w:r>
    </w:p>
    <w:p>
      <w:r>
        <w:rPr>
          <w:b/>
        </w:rPr>
        <w:t>E. 5</w:t>
      </w:r>
    </w:p>
    <w:p>
      <w:r>
        <w:t>La condamnation de l'appelant pour violation grave des règles de la circulation étant confirmée, il appartient encore à la Cour de céans d'examiner la peine infligée en première instance (art. 404 al. 2 CPP).</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5.3</w:t>
      </w:r>
    </w:p>
    <w:p>
      <w:r>
        <w:t>En l'espèce, A.N.________ a sciemment participé à une course-poursuite aussi inutile que dangereuse comme l'a relevé de façon pertinente le premier juge. Les quatre comparses ont provoqué une mise en danger concrète de la vie d'I.________ et de ses passagers. L'appelant n'a pas de casier judiciaire, mais il a déjà eu un avertissement le 7 novembre 2006 pour une ivresse au volant. Au vu de l'ensemble de ce qui précède, la culpabilité de l'appelant est importante. La quotité et le type de peine retenus par le premier juge, qui n'est pas sorti du cadre de l'art. 47 CP, sont adéquats et doivent être confirmés. L'octroi du sursis doit également être confirmé dans la mesure où l'appelant en remplit les conditions.</w:t>
      </w:r>
    </w:p>
    <w:p>
      <w:r>
        <w:rPr>
          <w:b/>
        </w:rPr>
        <w:t>E. 6</w:t>
      </w:r>
    </w:p>
    <w:p>
      <w:r>
        <w:t>En définitive, l'appel formé par A.N.________ doit être rejeté. Vu l'issue de la cause, les frais d'appel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