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 vom 11. Oktober 2011</w:t>
      </w:r>
    </w:p>
    <w:p>
      <w:r>
        <w:t>VD Tribunal cantonal, 2011-10-11, FR</w:t>
      </w:r>
    </w:p>
    <w:p>
      <w:r>
        <w:rPr>
          <w:b/>
        </w:rPr>
        <w:t xml:space="preserve">Quelle: </w:t>
      </w:r>
      <w:r>
        <w:t>https://mcp.opencaselaw.ch/entscheid/vd_findinfo_Jug___2012___29</w:t>
      </w:r>
    </w:p>
    <w:p>
      <w:r>
        <w:t>FR: VD_FINDINFO Jug / 2012 / 29 du 11 octobre 2011</w:t>
      </w:r>
    </w:p>
    <w:p>
      <w:r>
        <w:t>IT: VD_FINDINFO Jug / 2012 / 29 del 11 ottobre 2011</w:t>
      </w:r>
    </w:p>
    <w:p>
      <w:pPr>
        <w:pStyle w:val="Heading2"/>
      </w:pPr>
      <w:r>
        <w:t>Regeste</w:t>
      </w:r>
    </w:p>
    <w:p>
      <w:r>
        <w:t>FIXATION DE LA PEINE, SURSIS À L'EXÉCUTION DE LA PEINE, PEINE PÉCUNIAIRE | 34 CP, 42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par une partie ayant la qualité pour recourir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indiqué qu'il contestait le genre et la quotité de la peine ainsi que les frais de première instance (cf. art. 399 al. 4 let. b et f CPP). Il a renoncé, en audience d’appel, à contester la mesure ordonnée à son encontre (art. 399 al.</w:t>
      </w:r>
    </w:p>
    <w:p>
      <w:r>
        <w:rPr>
          <w:b/>
        </w:rPr>
        <w:t>E. 4</w:t>
      </w:r>
    </w:p>
    <w:p>
      <w:r>
        <w:t>En définitive, l’appel doit être rejeté et le jugement attaqué confirmé dans son entier. Vu l'issue de la cause, les frais de la procédure d'appel doivent être mis à la charge de J.________ (art. 428 al. 1 CPP). Outre l'émolument, qui se monte à 2'240 fr. (art. 21 al. 1 et 2 TFJP [Tarif des frais judiciaires pénaux du 28 septembre 2010, RSV 312.03.1]), ces frais comprennent l'indemnité allouée au défenseur d'office de l'appelant (cf. art. 135 al. 2 et 422 al. 2 let. a CPP, art. 2 al. 2 ch. 1 TFJP). Ce dernier a indiqué qu'il avait consacré</w:t>
      </w:r>
    </w:p>
    <w:p>
      <w:r>
        <w:rPr>
          <w:b/>
        </w:rPr>
        <w:t>E. 7</w:t>
      </w:r>
    </w:p>
    <w:p>
      <w:r>
        <w:t>heures au dossier, temps en audience non compris. Au vu de la complexité de la cause, des opérations mentionnées dans la note d'honoraires et de la procédure d'appel, il convient d'admettre que le conseil d'office de l'appelant a dû consacrer 9 heures à l'exécution de son mandat et l'indemnité sera dès lors arrêtée à 1'803 fr. 60, TVA et débours inclus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