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283 vom 8. November 2012</w:t>
      </w:r>
    </w:p>
    <w:p>
      <w:r>
        <w:t>VD Tribunal cantonal, 2012-11-08, FR</w:t>
      </w:r>
    </w:p>
    <w:p>
      <w:r>
        <w:rPr>
          <w:b/>
        </w:rPr>
        <w:t xml:space="preserve">Quelle: </w:t>
      </w:r>
      <w:r>
        <w:t>https://mcp.opencaselaw.ch/entscheid/vd_findinfo_Jug___2012___283</w:t>
      </w:r>
    </w:p>
    <w:p>
      <w:r>
        <w:t>FR: VD_FINDINFO Jug / 2012 / 283 du 8 novembre 2012</w:t>
      </w:r>
    </w:p>
    <w:p>
      <w:r>
        <w:t>IT: VD_FINDINFO Jug / 2012 / 283 del 8 novembre 2012</w:t>
      </w:r>
    </w:p>
    <w:p>
      <w:pPr>
        <w:pStyle w:val="Heading2"/>
      </w:pPr>
      <w:r>
        <w:t>Regeste</w:t>
      </w:r>
    </w:p>
    <w:p>
      <w:r>
        <w:t>DÉTENTION PRÉVENTIVE | 221 CPP (CH), 393 CPP (CH)</w:t>
      </w:r>
    </w:p>
    <w:p>
      <w:pPr>
        <w:pStyle w:val="Heading2"/>
      </w:pPr>
      <w:r>
        <w:t>Erwägungen</w:t>
      </w:r>
    </w:p>
    <w:p>
      <w:r>
        <w:rPr>
          <w:b/>
        </w:rPr>
        <w:t>E. 1</w:t>
      </w:r>
    </w:p>
    <w:p>
      <w:r>
        <w:t>Aux termes de l’art. 393 aI.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Elles ne doivent pas durer plus longtemps que la peine privative de liberté prévisible (art. 212 al. 3 CPP). b) Pour qu’une personne soit placée ou maintenue en détention provisoire, il doit exister à son égard des charges suffisantes ou des indices sérieux de culpabilité, c’est-à-dire des raisons plausibles de la soupçonner d’avoir commis une infraction (art. 221 al. 1 CPP; art. 5 par 1 let. c CEDH ; TF 1B_374/2011 du 3 août 2011 c. 2 et réf. cit.).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la 143 c. 3e; TF 1B_423/2010 du 17 janvier 2011 c. 4.1; Schmocker, in Kuhn/Jeanneret (éd.), Commentaire romand, Code de procédure pénale suisse, 2011, n. 8 ad art. 221 CPP;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décharge, ni à apprécier la crédibilité des personnes qui mettent en cause le prévenu, mais doivent uniquement examiner s’il existe des indices sérieux de culpabilité justifiant une telle mesure (ATF 137 IV 122 c. 3.2; ATF 124 I 208 c. 3; ATF 116 la 401 c. 3c; TF 1B_423/2010 du 17 janvier 2011 c. 4.1; TF 1B_410/2010 du 23 décembre 2010 c. 4.1; Forster, op. cit., n. 3 ad art. 221 CPP). c)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 4.5 p. 21; ATF 135 I 71 c. 2.3 p. 73; ATF 133 I 270 c. 2.2 p. 276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Cela étant, la mise en danger sérieuse de la sécurité d'autrui par le biais d'une menace de crime ou de délit grave peut se rapporter en principe à des biens juridiques de tous types, notamment la santé publique s'agissant d'infractions qualifiées à la LStup (cf. ATF 137 IV 84 c. 3.5 et 3.7, JT 2011 IV 325).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pp. 18 ss; TF 1B_731/2011 du 16 janvier 2012 c. 3.1; TF 1B_133/2011 du 12 avril 2011 c. 4.7).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w:t>
      </w:r>
    </w:p>
    <w:p>
      <w:r>
        <w:rPr>
          <w:b/>
        </w:rPr>
        <w:t>E. 3</w:t>
      </w:r>
    </w:p>
    <w:p>
      <w:r>
        <w:t>En l'espèce, le casier judiciaire de K.________ ne fait état d’aucune infraction semblable à celle qui fait l'objet de la présente cause. Toutefois, dans le cadre de l’enquête instruite contre le prévenu pour plusieurs cas d’incendie intentionnel, celui-ci a été soumis à une expertise psychiatrique (P. 5). Le rapport d’expertise du 18 novembre 2011, qui est suffisamment récent encore pour être relevant, indique (p. 8, risque de récidive) que non seulement des nouveaux incendies sont possibles, mais aussi d’autres actes hétéro-agressifs concernant tant des biens matériels que des personnes. Or, une agression au couteau préméditée tombe sous les critères dégagés par la jurisprudence fédérale citée ci-dessus. Un complément de cette expertise psychiatrique est en cours. Sans les résultats de ce complément, il n'est pas possible de remettre en cause le risque de réitération, tel que retenu par le Tribunal des mesures de contrainte dans son ordonnance du 28 juillet  2012. Vu la nature de l’infraction reprochée, la durée de la détention provisoire demeure proportionnée et aucune mesure de substitution ne permettrait de se prémunir du risque de réitération. Ainsi n'y a aucun élément nouveau par rapport à la situation retenue le 28 juillet 2012 et le fait que K.________ ait, comme il l'indique dans son recours, l'intention de suivre un traitement psychiatrique et d'entreprendre un apprentissage de cuisinier n'est pas décisif.</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seront mis à la charge du recourant, qui succombe (art. 428 al. 1 CPP). Il n'y a pas lieu à l'allocation d'une indemnité d'office au conseil du recourant, ce dernier ayant agi seul. Par ces motifs, la Chambre des recours pénale, statuant à huis clos prononce : I. Le recours est rejeté. II. L'ordonnance est confirmée. III. Les frais d'arrêt, par 770 fr. (sept cent septante francs), sont mis à la charge de K.________. IV. L'arrêt est exécutoire. Le président :               La greffière : Du L'arrêt qui précède, dont la rédaction a été approuvée à huis clos, est notifié, par l'envoi d'une copie complète, à : - Mme Isabelle Jaques, avocate (pour K.________), - M. K.________, - Ministère public central, et communiqué à : ‑ Mme la Présidente du Tribunal des mesures de contrainte, ‑ M. le Procureur de l'arrondissement de l'Est vaudois, ‑ M. Nicolas Mattenberger, avocat (pour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