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277 vom 26. Oktober 2012</w:t>
      </w:r>
    </w:p>
    <w:p>
      <w:r>
        <w:t>VD Tribunal cantonal, 2012-10-26, FR</w:t>
      </w:r>
    </w:p>
    <w:p>
      <w:r>
        <w:rPr>
          <w:b/>
        </w:rPr>
        <w:t xml:space="preserve">Quelle: </w:t>
      </w:r>
      <w:r>
        <w:t>https://mcp.opencaselaw.ch/entscheid/vd_findinfo_Jug___2012___277</w:t>
      </w:r>
    </w:p>
    <w:p>
      <w:r>
        <w:t>FR: VD_FINDINFO Jug / 2012 / 277 du 26 octobre 2012</w:t>
      </w:r>
    </w:p>
    <w:p>
      <w:r>
        <w:t>IT: VD_FINDINFO Jug / 2012 / 277 del 26 ottobre 2012</w:t>
      </w:r>
    </w:p>
    <w:p>
      <w:pPr>
        <w:pStyle w:val="Heading2"/>
      </w:pPr>
      <w:r>
        <w:t>Regeste</w:t>
      </w:r>
    </w:p>
    <w:p>
      <w:r>
        <w:t>DÉTENTION PRÉVENTIVE | 221 CPP (CH), 393 CPP (CH)</w:t>
      </w:r>
    </w:p>
    <w:p>
      <w:pPr>
        <w:pStyle w:val="Heading2"/>
      </w:pPr>
      <w:r>
        <w:t>Erwägungen</w:t>
      </w:r>
    </w:p>
    <w:p>
      <w:r>
        <w:rPr>
          <w:b/>
        </w:rPr>
        <w:t>E. 1</w:t>
      </w:r>
    </w:p>
    <w:p>
      <w:r>
        <w:t>Aux termes de l’art. 393 aI.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RSV 173.01]). En l’espèce, il y a donc lieu d’entrer en matière sur le recours, qui a été interjeté en temps utile devant l’autorité compétente et satisfait aux conditions de forme posées par l’art. 385 al. 1 CPP.</w:t>
      </w:r>
    </w:p>
    <w:p>
      <w:r>
        <w:rPr>
          <w:b/>
        </w:rPr>
        <w:t>E. 2</w:t>
      </w:r>
    </w:p>
    <w:p>
      <w:r>
        <w:t>En l'espèce, le recourant ne conteste pas l’existence de présomptions suffisantes de culpabilité, ni le risque qu’il commette à nouveau des vols à la tire. En revanche, il conteste que l’on puisse considérer que des vols à la tire, même à répétition, constituent des délits graves compromettant sérieusement la sécurité d’autrui au sens de l’art. 221 al. 1 let. c CPP (recours, p. 2-3).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 L’ampleur de l’activité criminelle doit également être prise en compte.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 (CREP 8 mai 2012/221 c. 2c). Saisi d’un recours du prévenu dans celle affaire, le Tribunal fédéral a considéré que compte tenu des troubles mis en évidence par l’expert, notamment des symptômes de dépendance aux drogues, on ne pouvait exclure, dans une situation de manque ou face à une résistance opposée par une victime, que le prévenu ne réagisse de manière imprévisible, voire violente, de sorte que l’on pouvait admettre que l’activité délictueuse déployée par le recourant était de nature à compromettre sérieusement la sécurité au sens de l’art. 221 al. 1 let c CPP (TF 1B_344/2012 du 19 juin 2012 c. 3.2). Dans le même arrêt, le Tribunal fédéral a relevé que selon la doctrine, on pouvait aussi retenir un risque de récidive lorsqu’il s’agissait, conformément au principe de célérité, d’éviter que la procédure ne soit sans cesse compliquée et prolongée par la commission de nouveaux délits (Piquerez/Macaluso, Procédure pénale suisse, 3e édition, n° 1198 p. 419; Schmocker, Commentaire Romand CPP, n. 17 ad art. 221 CPP), et il a considéré que tel était le cas dans l'affaire analysée, la procédure ayant été ouverte au mois de novembre 2010 et le recourant ayant récidivé chaque fois qu’il s’était trouvé en liberté (TF 1B_344/2012 du 19 juin 2012 c. 3.2). Ces considérations sont également valables dans le cas d'espèce d’un prévenu toxicomane qui a déjà commis de nombreux vols à la tire et a recommencé à voler vingt jours déjà après sa libération du 4 août 2012. En effet, le recourant admet lui-même qu’il commet ce genre de délit lorsqu’il est en manque (recours, p. 2 en bas). Or le vol à la tire dans les transports publics implique un contact physique direct avec les victimes, et il y a souvent intrusion dans la sphère personnelle des victimes, l’auteur glissant la main sur eux, à l’intérieur de leurs habits. Il comporte par ailleurs le risque de se muer en un brigandage (art. 140 ch. 1 al. 2 CP) lorsque les victimes se rendent compte de ce qui leur arrive et opposent de la résistance ou cherchent à récupérer leur bien. On ne peut ainsi exclure, dans une situation de manque ou face à une résistance opposée par une victime, que le prévenu ne réagisse de manière imprévisible, voire violente, de sorte que l’on peut admettre que l’activité délictueuse déployée par le recourant est de nature à compromettre sérieusement la sécurité d’autrui au sens de l’art. 221 al. 1 let. c CPP. Au surplus, il s’agit également d'éviter que la procédure ne soit sans cesse compliquée et prolongée par la commission de nouveaux délits, ce qui est à craindre en l’espèce au vu des circonstances évoquées ci-dessus.</w:t>
      </w:r>
    </w:p>
    <w:p>
      <w:r>
        <w:rPr>
          <w:b/>
        </w:rPr>
        <w:t>E. 3</w:t>
      </w:r>
    </w:p>
    <w:p>
      <w:r>
        <w:t>Le recourant estime que le risque de récidive peut être prévenu par le prononcé d’une mesure de substitution à forme d’un placement au Centre du Levant ou dans une institution semblable, pour soigner sa toxicomanie (recours, p. 3). Toutefois, aucune démarche concrète n’a été effectuée en vue d’un placement de S.________ dans une institution où il pourrait soigner sa toxicomanie, le recourant ayant seulement indiqué qu’il "[…] va écrire un courrier au Centre du Levant […]" . Au surplus, le prévenu a déjà, en juillet 2011, mis en échec un placement dans cette institution ordonné à titre de mesure de substitution, ainsi que cela ressort du rapport d’expertise psychiatrique du 8 août 2011, du Département de psychiatrie du CHUV (P. 10, point 5.4), et la seule affirmation du recourant qu’il "[…]a eu le temps de réfléchir à l’extérieur et en prison et il semble décidé aujourd’hui à se prendre en mains […]" ne permet pas de penser qu’il en irait différemment aujourd’hui.</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388 fr. 80  (art. 20 al. 1 TFJP [Tarif des frais judiciaires pénaux; RSV 312.03.1]) et des frais imputables à la défense d’office (art. 422 al. 1 et 2 let. a CPP), fixés à 360 fr., plus la TVA, par fr. 28 fr. 80, seront mis à la charge du recourant, qui succombe (art. 428 al. 1 CPP). Le remboursement à l’Etat de l’indemnité allouée au défenseur d’office du recourant ne sera toutefois exigible. Par ces motifs, la Chambre des recours pénale, statuant à huis clos prononce : I. Le recours est rejeté. II. L'ordonnance est confirmée. III. L'indemnité allouée au défenseur d'office du recourant est fixée à 380 fr. 80 (trois cent quatre-vingt-huit francs et huitante centimes), TVA et débours inclus. IV. Les frais d'arrêt, par 770 fr. (sept cent septante francs), ainsi que l'indemnité due au défenseur d'office du recourant, par 388 fr. 80 (trois cent quatre-vingt-huit francs et huitante centimes), sont mis à la charge de ce dernier. V. Le remboursement à l'Etat de l'indemnité allouée au chiffre III ci-dessus sera exigible pour autant que la situation économique du recourant se sont améliorée. VI. L'arrêt est exécutoire. La vice- présidente : La greffière : Du L'arrêt qui précède, dont la rédaction a été approuvée à huis clos, est notifié, par l'envoi d'une copie complète, à : - Kathrin Gruber, avocate (pour S.________), - Ministère public central, et communiqué à : ‑ Mme la Présidente du Tribunal des mesures de contrainte,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