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276 vom 3. Oktober 2012</w:t>
      </w:r>
    </w:p>
    <w:p>
      <w:r>
        <w:t>VD Tribunal cantonal, 2012-10-03, FR</w:t>
      </w:r>
    </w:p>
    <w:p>
      <w:r>
        <w:rPr>
          <w:b/>
        </w:rPr>
        <w:t xml:space="preserve">Quelle: </w:t>
      </w:r>
      <w:r>
        <w:t>https://mcp.opencaselaw.ch/entscheid/vd_findinfo_Jug___2012___276</w:t>
      </w:r>
    </w:p>
    <w:p>
      <w:r>
        <w:t>FR: VD_FINDINFO Jug / 2012 / 276 du 3 octobre 2012</w:t>
      </w:r>
    </w:p>
    <w:p>
      <w:r>
        <w:t>IT: VD_FINDINFO Jug / 2012 / 276 del 3 ottobre 2012</w:t>
      </w:r>
    </w:p>
    <w:p>
      <w:pPr>
        <w:pStyle w:val="Heading2"/>
      </w:pPr>
      <w:r>
        <w:t>Regeste</w:t>
      </w:r>
    </w:p>
    <w:p>
      <w:r>
        <w:t>ACTION EN VALIDATION DE SÉQUESTRE, FOR DU SÉQUESTRE, SÉQUESTRE CONCERNANT UN DÉBITEUR DOMICILIÉ À L'ÉTRANGER | 16 LDIP, 4 LDIP, 279 al. 1 LP, 279 LP</w:t>
      </w:r>
    </w:p>
    <w:p>
      <w:pPr>
        <w:pStyle w:val="Heading2"/>
      </w:pPr>
      <w:r>
        <w:t>Erwägungen</w:t>
      </w:r>
    </w:p>
    <w:p>
      <w:r>
        <w:rPr>
          <w:b/>
        </w:rPr>
        <w:t>E. 4</w:t>
      </w:r>
    </w:p>
    <w:p>
      <w:r>
        <w:t>c) ci-dessus). Or, il lui appartenait d'apporter la preuve de ces dépenses (art. 8 CC; Chaix, Commentaire romand, no 15 ad art. 374 CO; Gauch, op. cit., no 1019 p. 412 s.), ce qu'il aurait pu faire aisément en produisant, par exemple, sa propre comptabilité relative au chantier. La Cour de céans ne saurait combler cette lacune en extrapolant sur la base de quelques pièces partielles figurant au dossier, les conditions d'application de l'art. 42 al. 2 CO (applicable par renvoi de l'art. 99 al. 3 CO) n'étant pas réunies. Il en va de même pour les montants versés en paiement des taxes. Aucun montant ne sera dès lors alloué au demandeur en remboursement desdites taxes ou desdits paiements qu'il prétend avoir acquittés pour le compte du défendeur. e) En définitive, le demandeur doit donc être reconnu créancier d'un montant de 456'910 fr. (491'910 fr. - 35'000 fr.) à l'encontre du défendeur, dont il convient encore de déduire un montant de 60'000 EUR, valeur au 6 août 2003. VII. a) Lorsque le débiteur est en demeure pour le paiement d'une somme d'argent, il doit l'intérêt moratoire à 5 % l'an, même si un taux inférieur avait été fixé pour l'intérêt conventionnel (art. 104 al. 1 CO). Le débiteur d'une obligation exigible est généralement mis en demeure par l'interpellation du créancier (art. 102 al. 1 CO). b) Le demandeur a établi avoir mis en demeure le défendeur de payer d'ici au 31 décembre 2008. L'intérêt moratoire est ainsi dû dès le 1 er janvier 2009. VIII.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b) Obtenant gain de cause pour une grande partie de ses prétentions, le demandeur X.________ a droit à des dépens réduits d'un tiers, à la charge du défendeur A.________, qu'il convient d'arrêter à 31'998 fr. 55 (trente-et-un mille neuf cent nonante-huit francs et cinquante-cinq centimes), savoir : a) 14'000 fr. à titre de participation aux honoraires de son conseil; b) 700 fr. pour les débours de celui‑ci; c) 17'298 fr. 55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