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257 vom 16. April 2012</w:t>
      </w:r>
    </w:p>
    <w:p>
      <w:r>
        <w:t>VD Tribunal cantonal, 2012-04-16, FR</w:t>
      </w:r>
    </w:p>
    <w:p>
      <w:r>
        <w:rPr>
          <w:b/>
        </w:rPr>
        <w:t xml:space="preserve">Quelle: </w:t>
      </w:r>
      <w:r>
        <w:t>https://mcp.opencaselaw.ch/entscheid/vd_findinfo_Jug___2012___257</w:t>
      </w:r>
    </w:p>
    <w:p>
      <w:r>
        <w:t>FR: VD_FINDINFO Jug / 2012 / 257 du 16 avril 2012</w:t>
      </w:r>
    </w:p>
    <w:p>
      <w:r>
        <w:t>IT: VD_FINDINFO Jug / 2012 / 257 del 16 aprile 2012</w:t>
      </w:r>
    </w:p>
    <w:p>
      <w:pPr>
        <w:pStyle w:val="Heading2"/>
      </w:pPr>
      <w:r>
        <w:t>Regeste</w:t>
      </w:r>
    </w:p>
    <w:p>
      <w:r>
        <w:t>PRÉSOMPTION D'INNOCENCE, FIXATION DE LA PEINE, PEINE PÉCUNIAIRE, INJURE, MENACE{DROIT PÉNAL}, VIOLENCE CONTRE LES AUTORITÉS | 285 ch. 1 CP, 34 CP, 46 al. 2 CP, 54 CP, 399 al. 3 CPP (CH), 399 al. 4 CPP (CH)</w:t>
      </w:r>
    </w:p>
    <w:p>
      <w:pPr>
        <w:pStyle w:val="Heading2"/>
      </w:pPr>
      <w:r>
        <w:t>Erwägungen</w:t>
      </w:r>
    </w:p>
    <w:p>
      <w:r>
        <w:rPr>
          <w:b/>
        </w:rPr>
        <w:t>E. 1.1</w:t>
      </w:r>
    </w:p>
    <w:p>
      <w:r>
        <w:t>Interjeté dans les forme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L'appelant conclut à être libéré des accusations d'injure, de menaces et de violence ou menaces contre les autorités et les fonctionnaires. A la page 2 de sa déclaration d'appel, il circonscrit toutefois l'étendue de son appel au chiffre</w:t>
      </w:r>
    </w:p>
    <w:p>
      <w:r>
        <w:rPr>
          <w:b/>
        </w:rPr>
        <w:t>E. 4</w:t>
      </w:r>
    </w:p>
    <w:p>
      <w:r>
        <w:t>L'appelant demande que la peine soit réduite à un maximum de 10 jours de peine pécuniaire, assortie du sursis. Dans sa motivation, il invoque l'application de l'art. 54 CP en raison des blessures subies à la suite de son interpellation.</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c. 1.1 et les références citées).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w:t>
      </w:r>
    </w:p>
    <w:p>
      <w:r>
        <w:rPr>
          <w:b/>
        </w:rPr>
        <w:t>E. 4.1.2</w:t>
      </w:r>
    </w:p>
    <w:p>
      <w:r>
        <w:t>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valables. Conformément à ceux-ci,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(ATF 137 IV 105, JT IV 378; TF 6B_111/2009 du 16 juillet 2009 c. 3.2 et les références citées). L'art. 54 CP, qui s'applique dans des situations exceptionnelles, exige que les conséquences de l'acte pour son auteur aient été importantes. Le critère déterminant est qu'au vu de la culpabilité de l'auteur et des conséquences directes de son acte, la sanction pénale apparaisse à ce point inadéquate que le simple sentiment de justice impose de renoncer à toute peine. La mort d'un proche, compagnon de vie durant de longues années, est l'exemple type d'un cas d'application possible de cette disposition. Les conséquences de l'acte sont celles qu'endure l'auteur de l'acte lui-même et non les effets de l'acte sur son entourage (ATF 137 IV 105, JT 2011 IV 378 précité; Favre/Pellet/Stoudmann, Code pénal annoté, 3 e éd., Lausanne 2007, n. 1.2 et 1.3 ad art. 54 CP).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(TF 6B_111/2009 précité c. 3.2).</w:t>
      </w:r>
    </w:p>
    <w:p>
      <w:r>
        <w:rPr>
          <w:b/>
        </w:rPr>
        <w:t>E. 4.2</w:t>
      </w:r>
    </w:p>
    <w:p>
      <w:r>
        <w:t>En l'espèce, la culpabilité de M.________ est passablement lourde. En effet, il a enchaîné les comportements blâmables et s'en est pris successivement à différentes personnes, soit H.________, U.________, N.________ et K.________. Il ne semble en outre pas avoir pris conscience de l'inadéquation de son comportement, se trouvant à chaque fois des excuses et rejetant la faute sur les autres. Il est manifestement incapable de se remettre en cause, s'érigeant systématiquement en victime. Il a par ailleurs fait l'objet de six condamnations, ainsi qu'en atteste le contenu de son casier judiciaire, dont il minimise l'importance; ainsi il avait répondu à la police lors de son audition du 11 octobre 2009 à la question de savoir s'il avait déjà occupé les services de police : "Jamais. En réfléchissant, j'ai eu des petits soucis au niveau de la circulation routière, sanctionné ( recte : sanctionnés) par des amendes, que je me suis acquitté. J'ai aussi eu un différend avec un albanais ( recte : Albanais). Cette histoire a été jugée. Je n'ai rien en cours" (Dossier A, PV aud. 2). Enfin les infractions, pour lesquelles M.________ a été condamné en première instance et pour l'infraction confirmée devant la Cour de céans, sont en concours. A décharge, il convient de prendre en compte, uniquement pour la condamnation aux violence ou menace contre les autorités et les fonctionnaires, les lésions dont M.________ a souffert soit des contusions du genou et de l'épaule droite, des fractures de côtes et de dermabrasions au visage et au bras droit. Ces lésions sont intervenues dans le cadre d'une interpellation mouvementée consécutive à une attitude oppositionnelle de l'appelant découlant du fait qu'il estimait "n'avoir rien fait"; une exemption de peine au sens de l'art. 54 CP ne se justifie pas dans un tel cas, les conséquences de l'acte ne revêtant pas une importance grave pour l'appelant; son incapacité actuelle de travailler est due à un autre accident que les faits faisant l'objet du présent appel. Pour le surplus, s'agissant des infractions d'injure, menaces, violation simple des règles de la circulation routière et violation des devoirs en cas d'accident, l'appelant ne dispose d'aucun élément à décharge. Au demeurant, la quotité de la peine de 120 jours-amende est adéquate au regard des infractions commises, de la culpabilité de l'appelant et de sa situation personnelle. S'agissant du montant du jour-amende, il n'est pas contesté par l'appelant; la Cour de céans l'examine toutefois d'office. L'appelant a rappelé à l'audience ne travailler toujours qu'à 10% à la suite d'un accident; son salaire s'élève donc à 820 fr., tel que retenu par le premier juge. En outre, son loyer ainsi que l'entretien de sa voiture sont pris en charge par son entreprise; il possède encore une créance contre son assurance accident et des immeubles au Kosovo qui lui rapportent entre 1'500 Euros et 2'000 Euros par mois. M.________ soutient devoir supporter de nombreuses charges; ainsi il doit pourvoir à l'entretien de cinq enfants ainsi qu'à celui de son épouse, s'acquitter des assurances maladie pour toute la famille et il possède des dettes à concurrence de 200'000 francs. Pour tenir compte de la relative modicité du revenu et de l'importance des charges dont l'appelant doit s'acquitter (impôts, primes d'assurance maladie et obligations d'entretien), la Cour de céans réduit d'office le montant du jour-amende qui peut être fixé à 20 fr. le jour.</w:t>
      </w:r>
    </w:p>
    <w:p>
      <w:r>
        <w:rPr>
          <w:b/>
        </w:rPr>
        <w:t>E. 4.3</w:t>
      </w:r>
    </w:p>
    <w:p>
      <w:r>
        <w:t>L'appelant conclut à ce que la peine soit assortie du sursis.</w:t>
      </w:r>
    </w:p>
    <w:p>
      <w:r>
        <w:rPr>
          <w:b/>
        </w:rPr>
        <w:t>E. 4.3.1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cent quatre-vingt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c.4.4.2; cf. également, sur tous ces points, TF 6B_541/2007 du 13 mai 2008, c.2.2 et la jurisprudence citée).</w:t>
      </w:r>
    </w:p>
    <w:p>
      <w:r>
        <w:rPr>
          <w:b/>
        </w:rPr>
        <w:t>E. 4.3.2</w:t>
      </w:r>
    </w:p>
    <w:p>
      <w:r>
        <w:t>En l'espèce, M.________ ne motive pas en quoi le premier juge aurait retenu à tort un pronostic défavorable. On ne peut que donner raison au premier juge. En effet, l’appelant a déjà été condamné à six reprises. Il a en outre récidivé pour des infractions à la loi sur la circulation routière et a multiplié les actes de violence en minimisant la portée de ceux-ci et en reportant la responsabilité sur les autres: tant les gendarmes que son ex-amie et que son ex-employé. L'octroi du sursis n'entre dès lors pas en considération. L'appel doit également être rejeté sur ce point.</w:t>
      </w:r>
    </w:p>
    <w:p>
      <w:r>
        <w:rPr>
          <w:b/>
        </w:rPr>
        <w:t>E. 5</w:t>
      </w:r>
    </w:p>
    <w:p>
      <w:r>
        <w:t>En conclusion, l’appel est admis en ce qui concerne le montant du jour-amende et rejeté pour le surplus. Vu la mesure dans laquelle l'appelant succombe sur ses conclusions, les frais de la procédure d'appel selon l'art. 428 CPP doivent être mis à sa charge à raison des trois-quarts, le solde étant laissé à la charge de l'Etat (art. 428 al. 1, 1 ère phrase, CPP). Les frais comprennent l'émolument (art. 21 al. 1 et 2 TFJP [tarif des frais judiciaires pénaux du 28 septembre 2010; RSV 312.03.1]) qui se monte à 2'460 fr. (art. 21 al. 1 et 2 TFJP [Tarif des frais judiciaires pénaux du 28 septembre 2010, RSV 312.03.1]). Les frais de deuxième instance à la charge de l'appelant sont ainsi arrêtés à 1'845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