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252 vom 6. Juni 2012</w:t>
      </w:r>
    </w:p>
    <w:p>
      <w:r>
        <w:t>VD Tribunal cantonal, 2012-06-06, FR</w:t>
      </w:r>
    </w:p>
    <w:p>
      <w:r>
        <w:rPr>
          <w:b/>
        </w:rPr>
        <w:t xml:space="preserve">Quelle: </w:t>
      </w:r>
      <w:r>
        <w:t>https://mcp.opencaselaw.ch/entscheid/vd_findinfo_Jug___2012___252</w:t>
      </w:r>
    </w:p>
    <w:p>
      <w:r>
        <w:t>FR: VD_FINDINFO Jug / 2012 / 252 du 6 juin 2012</w:t>
      </w:r>
    </w:p>
    <w:p>
      <w:r>
        <w:t>IT: VD_FINDINFO Jug / 2012 / 252 del 6 giugno 2012</w:t>
      </w:r>
    </w:p>
    <w:p>
      <w:pPr>
        <w:pStyle w:val="Heading2"/>
      </w:pPr>
      <w:r>
        <w:t>Regeste</w:t>
      </w:r>
    </w:p>
    <w:p>
      <w:r>
        <w:t>IN DUBIO PRO REO, CONSTATATION DES FAITS, INDEMNITÉ{EN GÉNÉRAL} | 29 Cst., 10 CPP (CH), 398 al. 2 CPP (CH), 398 al. 3 let. a CPP (CH), 429 CPP (CH)</w:t>
      </w:r>
    </w:p>
    <w:p>
      <w:pPr>
        <w:pStyle w:val="Heading2"/>
      </w:pPr>
      <w:r>
        <w:t>Erwägungen</w:t>
      </w:r>
    </w:p>
    <w:p>
      <w:r>
        <w:rPr>
          <w:b/>
        </w:rPr>
        <w:t>E. 1.1</w:t>
      </w:r>
    </w:p>
    <w:p>
      <w:r>
        <w:t>Déposé en temps utile et contenant des conclusions conformes à l’art. 399 al. 3 CPP, l’appel est recevable (art. 399 aI. 1 et 3 CPP).</w:t>
      </w:r>
    </w:p>
    <w:p>
      <w:r>
        <w:rPr>
          <w:b/>
        </w:rPr>
        <w:t>E. 1.2</w:t>
      </w:r>
    </w:p>
    <w:p>
      <w:r>
        <w:t>L'appel concernant une contravention, la présente cause est de la compétence d'un membre de la cour d'appel statuant comme juge unique (art. 14 al. 3 LVCPP; Loi d'introduction du Code de procédure pénale suisse du 19 mai 2009, RSV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L'intéressé conteste les faits. Dans son appel, il se prévaut d'une violation du droit d'être entendu, en raison du rejet de ses réquisitions de preuve, ainsi que d'une constatation erronée des faits, les indications de la police tenues pour pertinentes par le premier juge étant sans rapport avec le radar litigieux. Le premier juge aurait en outre fait preuve d'arbitraire en privilégiant les éléments à charge, et violé le principe in dubio pro reo en le condamnant sans avoir obtenu la preuve de l'infaillibilité des données du radar litigieux (cf. mémoire pp. 4, 5 et 8). 3.1.1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3.1.2 Garanti à l'art. 29 al. 2 Cst. (Constitution fédérale de la Confédération suisse du 18 avril 1999,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(TF 1B_449/2011 du 20 septembre 2011 c. 2.1 et réf. cit.). 3.1.3 Sur la notion d'arbitraire, on peut renvoyer aux principes maintes fois exposés par le Tribunal fédéral (voir par ex: ATF 137 I 1 c. 2.4 p. 5; 136 III 552 c. 4.2 p. 560 ; 135 V 2 c. 1.3 p. 4/5; 134 I 140 c. 5.4 p. 148; 133 I 149 c. 3.1 p. 153 et les arrêts cités). En bref, pour qu'il y ait arbitraire, il ne suffit pas que la décision attaquée apparaisse discutable ou même critiquable; il faut qu'elle soit manifestement insoutenable et cela non seulement dans sa motivation, mais aussi dans son résultat (TF 6B_43/2012 du 27 août 2012, c. 1). 3.1.4 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 3.2.1 Aux dires de l'appelant, le premier juge aurait erré en constatant la fiabilité du radar litigieux sur la base de pièces se rapportant à un autre appareil. Les indications fournies par la gendarmerie le 17 février 2012 (P. 10) concernent bien le radar qui a flashé l'appelant : celui qui était installé sur les lieux des faits incriminés le jeudi 12 mai 2011, soit sur l'autoroute Vevey-Fribourg (A12), chaussée Veveyse, à la hauteur de la jonction [...] Au demeurant, les indications fournies en page 1 de la communication précitée de la Police cantonale (Gendarmerie, Bureau radar) montrent la catégorie de lasers concernée et en précise les composants. Les pièces annexées à la lettre du 17 février 2012 attestent que le radar litigieux a passé les contrôles annuels de l'Office fédéral de métrologie (P. 11 et P. 12) et peut être utilisé pour des mesures officielles (P. 13). Ces annexes émanent de l'Office fédéral de métrologie et du Service suisse des vérifications (P. 11, 12, et 13). Tous ces éléments pouvaient être tenus pour véridiques et considérés comme opposables au prévenu; ils l'emportent sur les indications fournies de mémoire par D.________. D'ailleurs le prévenu admet figurer sur la photographie de l'appareil. Les faits retenus par le premier juge ne sont donc pas entachés d'erreur et peuvent être confirmés. L'argument tombe à faux. 3.2.2 Au vu des renseignements fournis par la Police (P. 10 et annexes) et du contenu du procès-verbal de dénonciation rapporté dans la partie faits ci-dessus (annexe à la P. 9), le Tribunal a retenu qu'aux dits jour et heure, l'intéressé avait été surpris en excès de vitesse sur l'autoroute A12 et l'a condamné pour violation des règles de la circulation. Ce jugement n'apparaît pas insoutenable. Le grief d'arbitraire doit donc aussi être rejeté. 3.2.3 S'il est vrai que l'art. 29 Cst confère aux justiciables le droit d'offrir des preuves pertinentes et d'obtenir qu'il soit donné suite à ses demandes, il est possible de renoncer à ces preuves lorsque le fait dont les parties veulent rapporter l'authenticité n'est pas important pour la solution du cas, et/ou lorsque les preuves résultent déjà des constatations versées au dossier. Ces deux situations sont réalisées en l'espèce : les indications fournies par la police étaient pertinentes et suffisantes pour infirmer le témoignage de D.________, de sorte qu'il n'était ni nécessaire d'entendre une seconde fois ce témoin à décharge, ni utile de requérir une attestation de [...] attestant de la véracité de ce témoignage. On relèvera, au demeurant, qu'invité à produire lui-même cette attestation, l'intéressé n'a pas fait diligence, se privant ainsi d'une occasion de démontrer éventuellement la réalité de ses allégations. Le premier juge a procédé à l'audition d'un témoin, et a requis la production d'un rapport de la Police cantonale décrivant, pièces à l'appui, les caractéristiques du radar remis en cause. Les éléments ainsi recueillis ont permis de cerner les faits déterminants (cf. supra c. 3.2.1 et 3.2.2). Le Tribunal pouvait donc, sans violer les droits constitutionnels de l'appelant, clore l'instruction sans donner suite aux requêtes d'instruction complémentaire du prévenu (jugement pp. 5 et 9; P 18). Le grief est vain. 3.2.4 Au vu des éléments contenus dans ce dossier (cf. supra c. 3.2.1, c 3.2.2) qui a été suffisamment instruit (cf. supra c. 3.2.3), le premier juge pouvait acquérir l'intime conviction que les faits s'étaient déroulés comme décrits dans le procès-verbal de dénonciation (annexe à la P. 9) et maintenir, comme il l'a fait en page 13 de son jugement, la sanction préfectorale contestée. Le grief de violation du principe in dubio pro reo est donc également invoqué à tort.</w:t>
      </w:r>
    </w:p>
    <w:p>
      <w:r>
        <w:rPr>
          <w:b/>
        </w:rPr>
        <w:t>E. 4</w:t>
      </w:r>
    </w:p>
    <w:p>
      <w:r>
        <w:t>En définitive, l'appel de J.________, en tous points mal fondé, doit être rejeté aux frais de son auteur (art. 428 al. 1 CPP), ce qui entraîne le rejet de la demande d'indemnité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