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250 vom 10. Juni 2012</w:t>
      </w:r>
    </w:p>
    <w:p>
      <w:r>
        <w:t>VD Tribunal cantonal, 2012-06-10, FR</w:t>
      </w:r>
    </w:p>
    <w:p>
      <w:r>
        <w:rPr>
          <w:b/>
        </w:rPr>
        <w:t xml:space="preserve">Quelle: </w:t>
      </w:r>
      <w:r>
        <w:t>https://mcp.opencaselaw.ch/entscheid/vd_findinfo_Jug___2012___250</w:t>
      </w:r>
    </w:p>
    <w:p>
      <w:r>
        <w:t>FR: VD_FINDINFO Jug / 2012 / 250 du 10 juin 2012</w:t>
      </w:r>
    </w:p>
    <w:p>
      <w:r>
        <w:t>IT: VD_FINDINFO Jug / 2012 / 250 del 10 giugno 2012</w:t>
      </w:r>
    </w:p>
    <w:p>
      <w:pPr>
        <w:pStyle w:val="Heading2"/>
      </w:pPr>
      <w:r>
        <w:t>Regeste</w:t>
      </w:r>
    </w:p>
    <w:p>
      <w:r>
        <w:t>DÉTENTION PRÉVENTIVE, PROPORTIONNALITÉ | 107 CP, 51 CP, 29 al. 2 Cst., 20 TFJP, 221 CPP (CH), 222 CPP (CH), 229 al. 3 let. b CPP (CH), 237 CPP (CH), 385 CPP (CH), 393 CPP (CH), 396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septembre 1979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2 let. c CPP). Elles ne doivent pas durer plus longtemps que la peine privative de liberté prévisible (art. 212 al. 3 CPP). b) En l’espèce, le recourant ne conteste – à juste titre – ni l’existence de présomptions suffisantes de culpabilité, ni l’existence d’un risque de réitération ne pouvant être prévenu par aucune mesure de substitution à la détention pour des motifs de sûretés. Il se plaint d’une violation de son droit d’être entendu (cf. c. 3 infra) ainsi que d’une violation du principe de la proportionnalité (cf. c. 4 infra).</w:t>
      </w:r>
    </w:p>
    <w:p>
      <w:r>
        <w:rPr>
          <w:b/>
        </w:rPr>
        <w:t>E. 3</w:t>
      </w:r>
    </w:p>
    <w:p>
      <w:r>
        <w:t>a) Dans un grief d’ordre formel qu’il convient d’examiner en premier lieu, le recourant se plaint d’un défaut de motivation de l’ordonnance entreprise, soutenant qu’il ne lui serait pas possible, à la lecture de celle-ci, de définir pour quelles raisons l’autorité intimée a considéré que le principe de proportionnalité était encore respecté, ni pour quelles raisons une détention pour des motifs de sûreté de trois mois, soit le maximum légal, s’imposait (recours, p. 4). b) Le droit d'être entendu, garanti par l'art. 29 al. 2 Cst. (Constitution fédérale de la Confédération suisse du 18 avril 1999; RS 101), implique l'obligation, notamment pour l'autorité, de motiver sa décision, afin que le destinataire puisse la comprendre, l'attaquer utilement s'il y a lieu et que l'autorité de recours puisse exercer son contrôle ;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 4.1; ATF 133 III 439 c. 3.3). c) En l’espèce, la motivation de l’ordonnance apparaît certes succincte s’agissant du respect du principe de proportionnalité, mais elle n’a pas empêché le recourant de la comprendre et de l’attaquer utilement, comme on le verra (cf. c. 2c infra). Au surplus, un éventuel défaut de motivation sur ce point peut être réparé dans le cadre de la procédure de recours, où la Chambre des recours pénale dispose d’un plein pouvoir d'examen (art. 391 al. 1 et 393 al. 2 CPP ; CREP 14 mars 2011/46 et la jurisprudence citée). Une telle manière de procéder se justifie tout particulièrement lorsque le recours est dirigé contre une décision ordonnant ou prolongeant la détention provisoire ou pour des motifs de sûreté du prévenu, dans la mesure où l’annulation d’une telle décision et le renvoi à l’autorité inférieure pour réparation du vice ne serait guère compatible avec le principe de célérité (art. 5 al. 1 et 2 CPP).</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du 28 septembre 2010;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huitante-six francs), TVA incluse. IV. Les frais d'arrêt, par 880 fr. (huit cent huitante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 Sébastien Thüler, avocat (pour D.________), - Ministère public central, et communiqué à : ‑ Mme la Présidente du Tribunal des mesures de contrainte, - Mme la Procureure de l'arrondissement de La Côte, - Tribunal d'arrondissement de La Broye et du Nord vaudois, - M. Nader Ghosn, avocat (pour W.________ et [...]), - Mme J.________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