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244 vom 10. September 2012</w:t>
      </w:r>
    </w:p>
    <w:p>
      <w:r>
        <w:t>VD Tribunal cantonal, 2012-09-10, FR</w:t>
      </w:r>
    </w:p>
    <w:p>
      <w:r>
        <w:rPr>
          <w:b/>
        </w:rPr>
        <w:t xml:space="preserve">Quelle: </w:t>
      </w:r>
      <w:r>
        <w:t>https://mcp.opencaselaw.ch/entscheid/vd_findinfo_Jug___2012___244</w:t>
      </w:r>
    </w:p>
    <w:p>
      <w:r>
        <w:t>FR: VD_FINDINFO Jug / 2012 / 244 du 10 septembre 2012</w:t>
      </w:r>
    </w:p>
    <w:p>
      <w:r>
        <w:t>IT: VD_FINDINFO Jug / 2012 / 244 del 10 settembre 2012</w:t>
      </w:r>
    </w:p>
    <w:p>
      <w:pPr>
        <w:pStyle w:val="Heading2"/>
      </w:pPr>
      <w:r>
        <w:t>Regeste</w:t>
      </w:r>
    </w:p>
    <w:p>
      <w:r>
        <w:t>FAUX DANS LES CERTIFICATS, BLANCHIMENT D'ARGENT, FIXATION DE LA PEINE, SURSIS À L'EXÉCUTION DE LA PEINE, CONSTATATION DES FAITS | 252 CP, 305bis CP, 42 CP, 47 CP, 10 CPP (CH), 398 al. 3 let. a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382 al. 1 CPP) et contre un jugement d'un tribunal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En l'espèce, D.M.________ invoque tant une violation du droit (art. 399 al. 3 let. a CPP), contestant la réalisation des deux infractions retenues contre lui, qu'une constatation incomplète ou erronée des faits en ce qui concerne les cas de blanchiment d'argent (art. 399 al. 3 let. b CPP).</w:t>
      </w:r>
    </w:p>
    <w:p>
      <w:r>
        <w:rPr>
          <w:b/>
        </w:rPr>
        <w:t>E. 4</w:t>
      </w:r>
    </w:p>
    <w:p>
      <w:r>
        <w:t>L'appelant soutient ne pas s'être rendu coupable de faux dans les certificats. Il ne conteste pas la matérialité des faits, reconnaissant l'acquisition et l'usage de la pièce contrefaite, mais dénie à ses agissements tout caractère pénal. Il explique qu'étant au bénéfice d'un permis F, il n'était pas autorisé à se rendre à l'étranger et que c'est dans ces circonstances, pour des raisons de police des étrangers, qu'il a utilisé un certificat contrefait. Il explique ne jamais l'avoir utilisé autrement et ne pas avoir eu l'intention de s'en servir dans un autre but. A l'appui de son moyen, il invoque un arrêt du Tribunal fédéral (ATF 117 IV 170, JT 1993 IV 152).</w:t>
      </w:r>
    </w:p>
    <w:p>
      <w:r>
        <w:rPr>
          <w:b/>
        </w:rPr>
        <w:t>E. 4.1</w:t>
      </w:r>
    </w:p>
    <w:p>
      <w:r>
        <w:t>D'après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Sous l'empire de l'ancienne loi fédérale sur le séjour et l'établissement des étrangers du 26 mars 1931 (LSEE), la jurisprudence avait admis que l'auteur tombait exclusivement sous le coup de la disposition pénale spéciale (art. 23 LSEE) lorsqu'il excluait toute utilisation du certificat en dehors du domaine de la police des étrangers (ATF 117 IV 170 c. b, confirmé in: arrêt 6S/843/1999 du 6 mars 2000). Actuellement, la nouvelle loi fédérale sur les étrangers du 15 décembre 2005 entrée en vigueur le 1 er janvier 2008 (LEtr, RS 142.20), bien qu'elle prévoie la confiscation ou la saisie de documents de voyage faux ou falsifiés (art. 121), ne contient plus aucune disposition spéciale pour réprimer le faux certificat ou l'usage d'un faux certificat, de sorte que plus rien ne s'oppose à l'application de l'art. 252 CP (FF 2002 p. 3585; Corboz, Les infractions en droit suisse, 2 ème édition, Berne 2010, n. 31 ad art. 252 CP, p. 279; Dupuis et al., Petit commentaire du Code pénal, Bâle 2012, n. 27 ad art. 252 CP, p. 1463).</w:t>
      </w:r>
    </w:p>
    <w:p>
      <w:r>
        <w:rPr>
          <w:b/>
        </w:rPr>
        <w:t>E. 4.2</w:t>
      </w:r>
    </w:p>
    <w:p>
      <w:r>
        <w:t>Au vu de ce qui précède, la jurisprudence citée par l'appelant est désuète, et ce dernier s'est bel et bien rendu coupable d'usage de faux dans les certificats au sens de l'art. 252 CP. Mal fondé, ce premier moyen doit être rejeté.</w:t>
      </w:r>
    </w:p>
    <w:p>
      <w:r>
        <w:rPr>
          <w:b/>
        </w:rPr>
        <w:t>E. 5</w:t>
      </w:r>
    </w:p>
    <w:p>
      <w:r>
        <w:t>L'appelant conteste ensuite que les éléments constitutifs de l'infraction de blanchiment d'argent soient réalisés. En citant une jurisprudence du Tribunal pénal fédéral à l'appui de ses arguments (TPF 2011 194), il soutient qu'en l'espèce, en dépit d'une instruction détaillée, l'accusation n'a pas permis d'établir, de manière crédible et précise, qu'une activité criminelle préalable ait été déployée en amont des faits qui lui sont reprochés. En particulier, il ne serait aucunement établi que l'argent en cause lui aurait été remis par un ou des trafiquants de drogue. A cet égard, l'appelant considère que c'est à tort que les premiers juges ont retenu que le témoin A.D.________ "n'a jamais varié dans ses propos"; au contraire, selon lui, ce témoignage doit être écarté au motif qu'il n'est pas crédible. Par ailleurs, l'appelant maintient que les fonds séquestrés provenaient de ses économies. Il considère que l'analyse de sa situation financière dans le rapport établi par la Police de sûreté (P. 34) tend à le démontrer et que les premiers juges ont complètement fait abstraction de ce rapport. Au vu de ce qui précède, l'appelant estime que les premiers juges ont violé la présomption d'innocence en retenant qu'il s'était rendu coupable de blanchiment d'argent.</w:t>
      </w:r>
    </w:p>
    <w:p>
      <w:r>
        <w:rPr>
          <w:b/>
        </w:rPr>
        <w:t>E. 5.1</w:t>
      </w:r>
    </w:p>
    <w:p>
      <w:r>
        <w:t>Aux termes de l'art. 305 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5.2</w:t>
      </w:r>
    </w:p>
    <w:p>
      <w:r>
        <w:t>Selon l'art. 10 CPP, toute personne est présumée innocente tant qu'elle n'est pas condamnée par un jugement entré en force (al. 1). Le Tribunal apprécie librement les preuves recueillies selon l'intime conviction qu'il retire de l'ensemble de la procédure (al. 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5.3</w:t>
      </w:r>
    </w:p>
    <w:p>
      <w:r>
        <w:t>En l'occurrence, les premiers juges ont retenu que le prévenu s'était présenté à une reprise à la BCV pour changer en coupures de 1'000 fr. un lot de billets de 100 et 200 fr., pour un total de 3'000 fr., provenant d'un trafic de stupéfiants de tiers (jgt., c. 2a). Ils ont en outre et surtout retenu que le prévenu a posté une enveloppe, via DHL, à l'attention d'un tiers en Guinée Conakry mais en utilisant une fausse adresse et un faux destinataire, enveloppe contenant, dissimulées dans un journal, de nombreuses grosses coupures, soit 67 coupures de 1000 fr. et 15 coupures de 200 fr., ainsi que 84 coupures de 50 euros, 51 coupures de 100 euros, 17 coupures de 200 euros et 18 coupures de 500 euros pour un total de 70'000 fr. et 21'700 euros (jgt., c. 3a) dont le prévenu devait savoir qu'ils provenaient d'un trafic de stupéfiants.</w:t>
      </w:r>
    </w:p>
    <w:p>
      <w:r>
        <w:rPr>
          <w:b/>
        </w:rPr>
        <w:t>E. 5.3.1</w:t>
      </w:r>
    </w:p>
    <w:p>
      <w:r>
        <w:t>Les premiers juges ont fondé leur conviction sur les éléments suivants : - il est établi que, sur les montants incriminés, 3'000 fr. provenaient du trafic de drogue de C.M.________, qui les lui avait remis courant juin 2011 à Sion, ce qui est confirmé par le témoin A.D.________, qui affirme avoir assisté à la remise de l'argent; - la perquisition faite au domicile du prévenu le 25 août 2011 a permis de découvrir une coupure de 200 euros et quatre coupures de 100 euros, les premiers juges ne voyant pas pourquoi cet argent n'aurait pas été mis dans l'enveloppe litigieuse postée le 23 août 2011, s'il s'agissait d'une part d'économies; - les premiers juges se sont écartés des chiffres, selon eux théoriques et fondés sur les seules déclarations du prévenu, du rapport d'analyse financière et ont considéré que le prétendu trafic de cartes téléphoniques pris en considération n'était pas prouvé, que, même si on l'admettait, il serait aléatoire et ne permettrait pas de retirer des bénéfices substantiels. A cela s'ajoute que les premiers juges n'ont pas considéré comme crédibles les déclarations du prévenu sur son coût de la vie, compte tenu de son train de vie; - les premiers juges ont estimé invraisemblables les explications du prévenu, qui déclare envoyer toutes ses économies dans son pays, qu'il a fui pour des raisons politiques et où son rapatriement s'est révélé impossible; - les multiples opérations de change (entrées, sorties) parfois dans la même journée, le plus souvent par le biais d'automates; - la manière particulièrement minutieuse et ne laissant aucune trace indiciale d'emballer les espèces séquestrées; - les revirements de déclarations de certains trafiquants (dont A.D.________ dans une certaine mesure) lors de leur confrontation avec le prévenu; - la trace de contamination par cocaïne trouvée sur des meubles du domicile du prévenu lors d'une perquisition dans le cadre de l'enquête précédente; - le fait que le prévenu change régulièrement de téléphone cellulaire et qu'en particulier celui saisi en ses mains lors de son interpellation soit à un nom de fantaisie.</w:t>
      </w:r>
    </w:p>
    <w:p>
      <w:r>
        <w:rPr>
          <w:b/>
        </w:rPr>
        <w:t>E. 5.3.2</w:t>
      </w:r>
    </w:p>
    <w:p>
      <w:r>
        <w:t>En ce qui concerne la crédibilité du témoin A.D.________, remise en cause par l'appelant, il faut se référer aux deux PV d'audition de ce témoin qui figurent au dossier, dont le second est issu d'une confrontation avec le prévenu (PV audition 3 et 16). On y constate que, contrairement à ce qui est soutenu par l'appelant, ce témoin ne varie pas fondamentalement dans ses déclarations. Les points qui divergent concernent des éléments de détail ou alors des points que le témoin conteste avoir donnés dans sa première audition. Quoiqu'il en soit, dans les deux auditions, le témoin identifie l'appelant et confirme avoir assisté à la remise d'argent par C.M.________ à D.M.________. A ce propos, on peut relever que lorsque les premiers juges retiennent que ce témoin n'a jamais varié sans ses propos (jgt., p. 13, 2 è paragraphe), c'est au sujet du fait qu'il déclare avoir assisté à la remise d'argent entre les C.M.________ et D.M.________. Pour le surplus, les premiers juges relèvent aussi qu'il est arrivé à A.D.________, de revenir, dans une certaine mesure, sur ses déclarations (jgt., p. 15, 3 è paragraphe), mais considèrent que ces revirements, comme ceux d'autres protagonistes, sont monnaie courante dans ce genre de causes. On peut adhérer à cette constatation.</w:t>
      </w:r>
    </w:p>
    <w:p>
      <w:r>
        <w:rPr>
          <w:b/>
        </w:rPr>
        <w:t>E. 5.3.3</w:t>
      </w:r>
    </w:p>
    <w:p>
      <w:r>
        <w:t>En définitive, l'appréciation du témoignage de A.D.________ n'a rien d'arbitraire ou d'erroné et les faits retenus ne sont pas contraires au résultat de l'instruction.</w:t>
      </w:r>
    </w:p>
    <w:p>
      <w:r>
        <w:rPr>
          <w:b/>
        </w:rPr>
        <w:t>E. 5.4</w:t>
      </w:r>
    </w:p>
    <w:p>
      <w:r>
        <w:t>S'agissant ensuite du reproche fait par l'appelant aux premiers juges d'avoir "complètement fait abstraction du rapport établi par l'analyste financier de la Sûreté" et d'avoir donc écarté la thèse qu'il soutient, selon laquelle les fonds transférés provenaient de ses économies, on peut relever que le jugement attaqué se réfère au travail de l'analyste en question et n'en fait pas abstraction (jgt., p. 13, 4 è paragraphe). En l'occurrence, les premiers juges relèvent que cette opération d'instruction a été faite intégralement à décharge, sur la seule base des déclarations du prévenu. Cette affirmation n'est pas complètement exacte dans la mesure où l'analyse tient aussi compte d'éléments objectifs tels que la restitution d'un montant de 31'900 francs en 2009 par la justice vaudoise. Pour le surplus, les premiers juges ont relevé que les calculs de détermination de l'épargne maximale par le prévenu étaient théoriques – ce qui est exact – et ont indiqué pour quelles raisons ils s'écartaient, au vu de l'ensemble des circonstances du cas, de ces calculs théoriques (jgt., p. 13 in fine et p. 14). En effet, ces derniers ont raison lorsqu'ils relèvent que le commerce de cartes téléphoniques n'est pas prouvé et qu'il s'agirait de toute manière d'une activité très aléatoire qui ne pourrait pas laisser des bénéfices substantiels. D'autre part, au vu du rapport domiciliaire, l'appelant n'est pas crédible lorsqu'il dit s'être contenté de 700 fr. par mois pour vivre tout au long de la période considérée. De plus, aux considérations précédentes s'ajoute que l'auteur de l'analyse lui-même, avec des chiffres favorables au prévenu, aboutit à la conclusion qu'il n'a pas été possible à ce dernier d'économiser la totalité de ce qu'il prétend être ses économies. Ainsi, contrairement à ce que soutient l'appelant, les conclusions du rapport (P. 34) ne lui sont pas aussi favorables qu'il le prétend. Enfin, il faut également relever que les premiers juges ont fondé leur conviction sur un ensemble ou un faisceau d'éléments énumérés sous ch. 5.3.1 ci-dessus, de sorte qu'il n'y a rien d'erroné ou d'incomplet.</w:t>
      </w:r>
    </w:p>
    <w:p>
      <w:r>
        <w:rPr>
          <w:b/>
        </w:rPr>
        <w:t>E. 5.5</w:t>
      </w:r>
    </w:p>
    <w:p>
      <w:r>
        <w:t>En définitive, contrairement à ce que soutient l'appelant notamment lorsqu'il invoque la jurisprudence qu'il cite (TPF 2011 194), le jugement attaqué retient en l'espèce, après l'avoir établi, que l'accusé a prêté la main, en jouant un rôle de trésorier ou, à tout le moins de collecteur de fonds, à un important trafic de stupéfiants et qu'il lui appartenait de récolter le produit de ce trafic, de changer ces espèces dans de grosses coupures et d'organiser le rapatriement des fonds auprès de commanditaires africains (jgt., p. 14, 3 è paragraphe). Une telle présentation des faits est constitutive de l'infraction de l'art. 305 bis CP et c'est donc à raison que les premiers juges ont retenu celle-ci à l'encontre du prévenu, lequel ne pouvant ignorer que les fonds en question provenaient d'un trafic de stupéfiants. Le second moyen de l'appelant, mal fondé, doit être rejeté.</w:t>
      </w:r>
    </w:p>
    <w:p>
      <w:r>
        <w:rPr>
          <w:b/>
        </w:rPr>
        <w:t>E. 6</w:t>
      </w:r>
    </w:p>
    <w:p>
      <w:r>
        <w:t>Les moyens soulevés par l'appelant étant rejetés, il appartient encore à la Cour de céans d'examiner la peine infligée en première instance (art. 404 al. 2 CPP).</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 Selon la jurisprudence, le seul refus de collaborer à l'instruction, respectivement le déni des infractions commises, ne permet pas encore de tirer des conclusions sur la prise de conscience du condamné et motiver le refus du sursis. Le juge doit, au contraire, rechercher les raisons qui motivent ce refus puis les confronter à l'ensemble des éléments pertinents pour le pronostic (ATF 101 IV 257 c. 2a; TF 6B_610/2008 du 2 décembre 2008 c. 4.2.3).</w:t>
      </w:r>
    </w:p>
    <w:p>
      <w:r>
        <w:rPr>
          <w:b/>
        </w:rPr>
        <w:t>E. 6.3</w:t>
      </w:r>
    </w:p>
    <w:p>
      <w:r>
        <w:t>En l'espèce, D.M.________ s'est rendu coupable de faux dans les certificats et de blanchiment d'argent. Les premiers juges ont à juste titre considéré que la culpabilité de l'appelant était lourde. En effet, ce dernier a agi sur une longue période, en prêtant la main à un trafic international de stupéfiants, avec une subtilité manifeste. A charge, il convient de tenir compte du concours d'infractions (art. 49 al. 1 CP). De plus, l'état d'esprit de l'appelant au moment du jugement est caractérisé par un déni absolu dont il résulte qu'il n'a d'aucune façon pris conscience de la gravité de ses actes. A décharge, il n'existe aucune circonstance atténuante légale. Au regard des infractions retenues, de l'importante culpabilité du prévenu et de sa situation personnelle, la peine privative de liberté de quinze mois fixée par les premiers juges paraît adéquate et doit être confirmée.</w:t>
      </w:r>
    </w:p>
    <w:p>
      <w:r>
        <w:rPr>
          <w:b/>
        </w:rPr>
        <w:t>E. 6.4</w:t>
      </w:r>
    </w:p>
    <w:p>
      <w:r>
        <w:t>Au vu de la quotité de la peine infligée à D.M.________, les conditions objectives du sursis sont réalisées. D'un point de vue subjectif, l'appelant est certes un délinquant primaire, mais il s'est rendu coupable d'actes objectivement graves. Il a prêté la main à un trafic international de stupéfiants, avec une subtilité manifeste et a nié l'évidence en inventant des explications rocambolesques telles que l'envoi d'argent dans un pays qu'il a fui pour des raisons politiques. On doit dès lors constater que le prévenu n'a fait preuve d'aucune prise de conscience rendant le pronostic quant à son comportement futur défavorable. Au surplus, l'appelant n'exerce aucune activité professionnelle depuis deux ans et se complaît dans une forme d'oisiveté qui amplifie d'autant plus le risque de récidive. Enfin, malgré les 110 jours de détention préventive, le prévenu continue à nier l'évidence. Au vu de ce qui précède, le pronostic quant au comportement futur de D.M.________ est entièrement défavorable et l'octroi du sursis doit être refusé.</w:t>
      </w:r>
    </w:p>
    <w:p>
      <w:r>
        <w:rPr>
          <w:b/>
        </w:rPr>
        <w:t>E. 7</w:t>
      </w:r>
    </w:p>
    <w:p>
      <w:r>
        <w:t>En définitive, l'appel formé par D.M.________ est rejeté. Vu l'issue de la cause, les frais d'appel sont mis à la charge de l'appelant qui succombe (art. 428 al. 1 CPP). Au vu des opérations effectuées en appel, il se justifie d'arrêter à 1’803 fr. 60, TVA et débours compris, l'indemnité allouée au défenseur d'office de l'appelant. Ce dernier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