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241 vom 12. Oktober 2012</w:t>
      </w:r>
    </w:p>
    <w:p>
      <w:r>
        <w:t>VD Tribunal cantonal, 2012-10-12, FR</w:t>
      </w:r>
    </w:p>
    <w:p>
      <w:r>
        <w:rPr>
          <w:b/>
        </w:rPr>
        <w:t xml:space="preserve">Quelle: </w:t>
      </w:r>
      <w:r>
        <w:t>https://mcp.opencaselaw.ch/entscheid/vd_findinfo_Jug___2012___241</w:t>
      </w:r>
    </w:p>
    <w:p>
      <w:r>
        <w:t>FR: VD_FINDINFO Jug / 2012 / 241 du 12 octobre 2012</w:t>
      </w:r>
    </w:p>
    <w:p>
      <w:r>
        <w:t>IT: VD_FINDINFO Jug / 2012 / 241 del 12 ottobre 2012</w:t>
      </w:r>
    </w:p>
    <w:p>
      <w:pPr>
        <w:pStyle w:val="Heading2"/>
      </w:pPr>
      <w:r>
        <w:t>Regeste</w:t>
      </w:r>
    </w:p>
    <w:p>
      <w:r>
        <w:t>RETRAIT DE L'AUTORITÉ PARENTALE | 311 al. 1 ch. 2 CC, 399a CPC</w:t>
      </w:r>
    </w:p>
    <w:p>
      <w:pPr>
        <w:pStyle w:val="Heading2"/>
      </w:pPr>
      <w:r>
        <w:t>Erwägungen</w:t>
      </w:r>
    </w:p>
    <w:p>
      <w:r>
        <w:rPr>
          <w:b/>
        </w:rPr>
        <w:t>E. 1</w:t>
      </w:r>
    </w:p>
    <w:p>
      <w:r>
        <w:t>a) La Cour de céans doit statuer sur le retrait de l'autorité parentale d'un père sur son fils. b) Les mesures de protection de l'enfant sont ordonnées par les autorités de tutelle du domicile de l'enfant (art. 315 al. 1 CC). Selon l'art. 25 al. 1 CC, l'enfant sous autorité parentale partage le domicile de ses père et mère ou, en l'absence de domicile commun des père et mère, le domicile de celui de ses parents qui a le droit de garde. Si les deux parents sont privés du droit de garde ou si le domicile du ou des détenteurs de l'autorité parentale n'est pas connu, l'enfant a son domicile au lieu de sa résidence (Deschenaux/Steinauer, Personnes physiques et tutelle,</w:t>
      </w:r>
    </w:p>
    <w:p>
      <w:r>
        <w:rPr>
          <w:b/>
        </w:rPr>
        <w:t>E. 4</w:t>
      </w:r>
    </w:p>
    <w:p>
      <w:r>
        <w:t>a) En définitive, l'autorité parentale d'A.________ sur son fils K.________ n'est pas retirée. b) Le présent jugement peut être rendu sans frais (art. 406 al. 2 CPC‑VD). c) N'ayant pas procédé par l'intermédiaire d'un mandataire professionnel, A.________ n'a pas droit à l'allocation de dépens. Par ces motifs, la Chambre des tutelles du Tribunal cantonal, statuant à huis clos, prononce : I. L'autorité parentale d'A.________ sur son fils K.________, né le [...] 2003, n'est pas retirée. II. Le jugement est rendu sans frais, ni dépens. III. L'arrêt est exécutoire. Le président :              La greffière : Du Le jugement qui précède, dont la rédaction a été approuvée à huis clos, est notifié à : ‑ A.________, ‑ B.________, - Tuteur général, - Service de protection de la jeunesse, et communiqué à : ‑ Justice de paix du district de la Riviera – Pays-d'Enhaut, par l'envoi de photocopies. Le présent arrêt peut faire l'objet d'un recours en matière civile devant le Tribunal fédéral au sens des art. 72 ss LTF,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