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233 vom 19. Juni 2012</w:t>
      </w:r>
    </w:p>
    <w:p>
      <w:r>
        <w:t>VD Tribunal cantonal, 2012-06-19, FR</w:t>
      </w:r>
    </w:p>
    <w:p>
      <w:r>
        <w:rPr>
          <w:b/>
        </w:rPr>
        <w:t xml:space="preserve">Quelle: </w:t>
      </w:r>
      <w:r>
        <w:t>https://mcp.opencaselaw.ch/entscheid/vd_findinfo_Jug___2012___233</w:t>
      </w:r>
    </w:p>
    <w:p>
      <w:r>
        <w:t>FR: VD_FINDINFO Jug / 2012 / 233 du 19 juin 2012</w:t>
      </w:r>
    </w:p>
    <w:p>
      <w:r>
        <w:t>IT: VD_FINDINFO Jug / 2012 / 233 del 19 giugno 2012</w:t>
      </w:r>
    </w:p>
    <w:p>
      <w:pPr>
        <w:pStyle w:val="Heading2"/>
      </w:pPr>
      <w:r>
        <w:t>Regeste</w:t>
      </w:r>
    </w:p>
    <w:p>
      <w:r>
        <w:t>SOUSTRACTION À LA PRISE DE SANG, VIOLATION DES RÈGLES DE LA CIRCULATION, ÉTAT DÉFECTUEUX DU VÉHICULE, CONDUITE SANS PERMIS DE CONDUIRE OU MALGRÉ UN RETRAIT, LOI FÉDÉRALE SUR LES STUPÉFIANTS ET LES SUBSTANCES PSYCHOTROPES | 106 CP, 40 CP, 47 CP, 49 al. 1 CP, 49 al. 2 CP, 49 CP, 90 LCR, 91 al. 1 LCR, 91 LCR, 93 ch. 2 LCR, 94 ch. 1 al. 1 LCR, 94 ch. 1 LCR, 95 ch. 1 al. 1 LCR, 19a ch. 1 LStup, 19a LStup</w:t>
      </w:r>
    </w:p>
    <w:p>
      <w:pPr>
        <w:pStyle w:val="Heading2"/>
      </w:pPr>
      <w:r>
        <w:t>Erwägungen</w:t>
      </w:r>
    </w:p>
    <w:p>
      <w:r>
        <w:rPr>
          <w:b/>
        </w:rPr>
        <w:t>E. 1</w:t>
      </w:r>
    </w:p>
    <w:p>
      <w:r>
        <w:t>Déposé en temps utile et contenant des conclusions suffisantes, l'appel d'D.________ est recevable (art. 399 al.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L’appelant conteste s'être rendu coupable de tentative de dérobade aux mesures visant à déterminer l’incapacité de conduire. Les autres chefs d'accusation retenus contre lui ne sont pas remis en cause.</w:t>
      </w:r>
    </w:p>
    <w:p>
      <w:r>
        <w:rPr>
          <w:b/>
        </w:rPr>
        <w:t>E. 3.1</w:t>
      </w:r>
    </w:p>
    <w:p>
      <w:r>
        <w:t>Selon l’art. 91a LCR (Loi fédérale du 19 décembre 1958 sur la circulation routière; RS 741.01),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w:t>
      </w:r>
    </w:p>
    <w:p>
      <w:r>
        <w:rPr>
          <w:b/>
        </w:rPr>
        <w:t>E. 3.2</w:t>
      </w:r>
    </w:p>
    <w:p>
      <w:r>
        <w:t>Cette disposition prévoit trois hypothèses alternatives, à savoir l’opposition, la dérobade, et l’entrave à la constatation de l’alcoolémie. a) L’opposition suppose que la mesure ait été ordonnée et que l’intéressé l’ait refusée. Une telle situation n'est pas réalisée dans le cas présent. b)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(condition objective); (2) l’ordre de se soumettre à une mesure d’investigation de l’état d’incapacité de conduire doit apparaître objectivement comme hautement vraisemblable au vu des circonstances (condition subjective) (ATF 124 IV 175; TF 6b_216/2010 du 11 mai 2010, c. 3.1) L’art. 51 LCR réglemente les devoirs en cas d’accident. Il prévoit qu'en cas d’accident où sont en cause des véhicules automobiles ou des cycles, toutes les personnes impliquées devront s’arrêter immédiatement. Elles sont tenues d’assurer, dans la mesure du possible, la sécurité de la circulation (al. 1). Selon l'alinéa 3 de cette disposition, si l’accident n’a causé que des dommages matériels, leur auteur en avertira tout de suite le lésé en indiquant son nom et son adresse. En cas d'impossibilité, il en informera sans délai la police (al. 3). Comme le relève d'ailleurs l’appelant (mémoire p. 3), la deuxième condition de l’art. 91a LCR (soit, la vraisemblance du contrôle de l’aptitude à la conduite) est à l’évidence réalisée. La première (soit l'obligation d'appeler la police) ne l'est en revanche pas. Le conducteur en état d’incapacité n’a en effet aucune obligation de se dénoncer spontanément et on ne peut lui reprocher d’avoir quitté les lieux d’un accident que s’il avait l’obligation juridique d’y rester (Bernard Corboz, Les infractions en droit suisse, vol. II, 3ème éd., Berne 2010, n. 21 ad art 91a LCR, p. 964). Ainsi, lorsque les dégâts matériels ont pu être immédiatement annoncés au lésé et que le lésé ne veut pas appeler la police comme le lui permet l’art. 56 al. 2 OCR (ordonnance sur les règles de la circulation routière; RS 741.11), le conducteur peut s’en aller sans tomber sous le coup de l’art. 91a LCR, même s’il devait objectivement s’attendre à ce qu’une prise de sang soit ordonnée, si la police avait eu connaissance de l’accident (Jeanneret, Les dispositions pénales de la Loi sur la circulation routière, art. 90 à 103 LCR, n. 27 ad art. 91a LCR, p. 133; cf. également n. 33 à 35 pp. 135-136). S'agissant de dommages matériels, le prévenu a rempli ses obligations résultant de l'art. 51 al. 3 LCR dès lors qu'immédiatement après l'accident, il s'est arrangé à l'amiable avec le lésé, ce qu'attestent plusieurs pièces du dossier et en particulier le témoignage de [...] (PV audition no 1 du 2 octobre 2011, p. 2). En outre, le lésé W.________ a renoncé à appeler la police aux motifs que le prévenu avait immédiatement reconnu par écrit sa responsabilité dans l'accident et dès lors qu'il n'y avait aucun blessé (P. 11 p. 5). L'élément objectif de la dérobade n'est pas réalisé. c) L’art. 91a al. 1 LCR distingue encore l’hypothèse de la mise en échec de la constatation de l’incapacité de conduire. On vise ici tout autre comportement qui empêche cette constatation au moment pertinent par la mesure spécifique du constat. C'est le cas de l’auteur qui, après avoir conduit, s’empresse de boire de l’alcool avant tout examen de manière à empêcher de reconstituer son taux d’alcoolémie au moment où il conduisait. C'est aussi le cas de l’auteur qui dérobe, intervertit ou détruit la veinule contenant le sang ou l’urine prélevée par le médecin (Berbard Corboz, Les infractions en droit suisse, vol. II, 3ème éd., Berne 2010, op. cit. n. 29-33 ad art. 91a LCR, p. 967). Or on ne saurait reprocher un tel comportement au prévenu.</w:t>
      </w:r>
    </w:p>
    <w:p>
      <w:r>
        <w:rPr>
          <w:b/>
        </w:rPr>
        <w:t>E. 3.3</w:t>
      </w:r>
    </w:p>
    <w:p>
      <w:r>
        <w:t>L'appel est donc bien fondé sur ce point, et le jugement entrepris doit être réformé en ce sens qu'D.________ doit être libéré de l'infraction de tentative de dérobade aux mesures visant à déterminer l’incapacité de conduire.</w:t>
      </w:r>
    </w:p>
    <w:p>
      <w:r>
        <w:rPr>
          <w:b/>
        </w:rPr>
        <w:t>E. 4</w:t>
      </w:r>
    </w:p>
    <w:p>
      <w:r>
        <w:t>Il convient de fixer à nouveau la peine en tenant compte de l'abandon de cette infraction.</w:t>
      </w:r>
    </w:p>
    <w:p>
      <w:r>
        <w:rPr>
          <w:b/>
        </w:rPr>
        <w:t>E. 4.1</w:t>
      </w:r>
    </w:p>
    <w:p>
      <w:r>
        <w:t>D'après l'art. 47 al. 1 CP,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précité, c. 2.1).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rPr>
          <w:b/>
        </w:rPr>
        <w:t>E. 4.2</w:t>
      </w:r>
    </w:p>
    <w:p>
      <w:r>
        <w:t>En l'espèce, le prévenu a été condamné à six reprises, dont trois fois pour des infractions à la LCR. D'après son fichier ADMAS, il a fait l'objet de trois retraits de permis de longue durée, pour conduite en état d'ébriété, conduite malgré un retrait, et conduite sans observer les signaux. L'intéressé a récidivé en matière de circulation le 2 octobre 2011 alors qu'il venait de se faire condamner pour des infractions similaires le 19 août 2011. Il a circulé à plusieurs reprises avec des taux d'alcoolémie très importants faisant courir des dangers sérieux à la sécurité publique.  L'intéressé apparaît comme un individu qui viole sans scrupule de nombreuses dispositions légales et se montre insensible aux sanctions prononcées contre lui. Il n'y a pas d'élément à décharge. En considération de ce qui précède, seule une peine privative de liberté s'impose, ce que l'appelant ne conteste pas. Il demande que sa peine (fixée à sept mois par le Tribunal) soit réduite à six mois pour tenir compte de l'abandon de l'infraction de tentative de dérobade aux mesures visant à déterminer l’incapacité de conduire. Cette quotité est adéquate au regard de la culpabilité d'D.________. Le pronostic est défavorable pour ce prévenu qui n'a pas pris conscience de la gravité de ses actes, même s'il manifeste le désir de se resocialiser en s'apprêtant à commencer un stage la [...]. La peine sera donc ferme.</w:t>
      </w:r>
    </w:p>
    <w:p>
      <w:r>
        <w:rPr>
          <w:b/>
        </w:rPr>
        <w:t>E. 5</w:t>
      </w:r>
    </w:p>
    <w:p>
      <w:r>
        <w:t>En définitive, l'appel d'D.________ est bien fondé et doit être admis, ce qui entraîne la réforme du jugement entrepris dans le sens des considérants.</w:t>
      </w:r>
    </w:p>
    <w:p>
      <w:r>
        <w:rPr>
          <w:b/>
        </w:rPr>
        <w:t>E. 6</w:t>
      </w:r>
    </w:p>
    <w:p>
      <w:r>
        <w:t>septembre 2012 Le dispositif du jugement qui précède est communiqué à l'appelant et aux autres intéressés. La greffière : Du Le jugement qui précède, dont la rédaction a été approuvée à huis clos, est notifié, par l'envoi d'une copie complète, à : - Me François Magnin (pour D.________), - Ministère public central, et communiqué à : - Mme la Présidente du Tribunal de police de l'arrondissement de l'Est vaudois,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