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222 vom 7. Mai 2012</w:t>
      </w:r>
    </w:p>
    <w:p>
      <w:r>
        <w:t>VD Tribunal cantonal, 2012-05-07, FR</w:t>
      </w:r>
    </w:p>
    <w:p>
      <w:r>
        <w:rPr>
          <w:b/>
        </w:rPr>
        <w:t xml:space="preserve">Quelle: </w:t>
      </w:r>
      <w:r>
        <w:t>https://mcp.opencaselaw.ch/entscheid/vd_findinfo_Jug___2012___222</w:t>
      </w:r>
    </w:p>
    <w:p>
      <w:r>
        <w:t>FR: VD_FINDINFO Jug / 2012 / 222 du 7 mai 2012</w:t>
      </w:r>
    </w:p>
    <w:p>
      <w:r>
        <w:t>IT: VD_FINDINFO Jug / 2012 / 222 del 7 maggio 2012</w:t>
      </w:r>
    </w:p>
    <w:p>
      <w:pPr>
        <w:pStyle w:val="Heading2"/>
      </w:pPr>
      <w:r>
        <w:t>Regeste</w:t>
      </w:r>
    </w:p>
    <w:p>
      <w:r>
        <w:t>CIRCULATION ROUTIÈRE{DROIT DE LA CIRCULATION ROUTIÈRE}, LOI FÉDÉRALE SUR LA CIRCULATION ROUTIÈRE | 106 CP, 47 CP, 49 CP, 50 CP, 90 ch. 1 LCR</w:t>
      </w:r>
    </w:p>
    <w:p>
      <w:pPr>
        <w:pStyle w:val="Heading2"/>
      </w:pPr>
      <w:r>
        <w:t>Erwägungen</w:t>
      </w:r>
    </w:p>
    <w:p>
      <w:r>
        <w:rPr>
          <w:b/>
        </w:rPr>
        <w:t>E. 1</w:t>
      </w:r>
    </w:p>
    <w:p>
      <w:r>
        <w:t>Déposé en temps utile et contenant des conclusions suffisantes, l'appel est recevable (art. 399 al. 1 et 3 CPP; Code de procédure pénale suisse du 5 octobre 2007, RS 312.0).</w:t>
      </w:r>
    </w:p>
    <w:p>
      <w:r>
        <w:rPr>
          <w:b/>
        </w:rPr>
        <w:t>E. 2</w:t>
      </w:r>
    </w:p>
    <w:p>
      <w:r>
        <w:t>D.________ invoque des constatations inexactes et contradictoires des faits, et une violation des art. 31 al. 1 LCR (loi fédérale du 19 décembre 1958 sur la circulation routière; RS 741.01) et 3 al. 1 OCR (Ordonnance du 13 novembre 1962 sur les règles de la circulation routière; RS 714.11). Il reprend la version des faits qu'il avait fait valoir en première instance et qu'aucun élément ne permet à ses dires d'infirmer. Il ajoute qu'en l'absence de données scientifiquement étayées, le premier juge ne pouvait pas, sans tomber dans l'arbitraire, retenir que l'accident lui était imputable.</w:t>
      </w:r>
    </w:p>
    <w:p>
      <w:r>
        <w:rPr>
          <w:b/>
        </w:rPr>
        <w:t>E. 2.1.1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(Vianin, in Commentaire romand, Code de procédure pénale suisse, Bâle 2011, n. 19 ad art. 398 CPP).</w:t>
      </w:r>
    </w:p>
    <w:p>
      <w:r>
        <w:rPr>
          <w:b/>
        </w:rPr>
        <w:t>E. 2.1.2</w:t>
      </w:r>
    </w:p>
    <w:p>
      <w:r>
        <w:t>Selon l’art. 31 al. 1 LCR, conducteur devra rester constamment maître de son véhicule de façon à pouvoir se conformer aux devoirs de la prudence. Aux termes de l’art. 3 al. 1 OCR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Ainsi, le conducteur doit vouer à la route et au trafic toute l'attention possible. Le degré de cette attention doit être apprécié au regard de toutes les circonstances, telles que la densité du trafic, la configuration des lieux, l’heure, la visibilité, les sources de danger prévisibles, etc. (ATF 122 IV 225 c. 2b p. 228).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 Code suisse de la circulation routière, Commentaire, 3ème édition, 1996 Lausanne, art. 31 LCR n° 2.4).</w:t>
      </w:r>
    </w:p>
    <w:p>
      <w:r>
        <w:rPr>
          <w:b/>
        </w:rPr>
        <w:t>E. 2.2</w:t>
      </w:r>
    </w:p>
    <w:p>
      <w:r>
        <w:t>L’appelant explique qu’il roulait, au moment des faits litigieux, à une vitesse d’environ 110km/h sur l’autoroute, que le véhicule qui le précédait roulait à quelque 60 km/h, sur la bande d’arrêt d’urgence, et que celui-ci s’est rabattu soudainement à 50 mètres devant lui. Ces allégations ne sauraient être considérées comme des faits établis. En effet, on doit admettre que le véhicule qui le précédait, conduit par R.________ roulait normalement sur la piste de droite de l’autoroute et non pas sur la bande d’arrêt d’urgence et ce à une vitesse d’environ 95 km/h. Ces faits ressortent des allégations de la prénommée, dont on a aucun motif de s’écarter, et qui sont par ailleurs confirmées par sa fille. De plus, V.________, amie de l’appelant, a également indiqué ne pas avoir remarqué de véhicule qui circulait sur la voie de gauche, ni sur la bande d’arrêt d’urgence, ni enfin sur la voie d’accès à la place de ravitaillement de Bavois (Rapport de la police cantonale du 10 mai 2011 pp. 4 et 5).</w:t>
      </w:r>
    </w:p>
    <w:p>
      <w:r>
        <w:rPr>
          <w:b/>
        </w:rPr>
        <w:t>E. 2.3</w:t>
      </w:r>
    </w:p>
    <w:p>
      <w:r>
        <w:t>L’appelant conteste avoir perdu la maîtrise de son véhicule. Il soutient que c’est parce qu’il a été percuté par derrière par la voiture pilotée par son amie V.________, qui le suivait, que son engin a été propulsé en avant, pour emboutir la  voiture qui le précédait. En l’espèce, on doit bel et bien admettre que l’appelant a été inattentif. En effet, il n’a remarqué que tardivement le véhicule qui le précédait. Dans les conditions de circulation telles que retenues ci-dessus et qui sont en réalité des circonstances tout à fait ordinaires prévalant sur l’autoroute, l’appelant, s’il avait été suffisamment attentif, aurait soit pu freiner à temps – sans devoir effectuer le freinage brusque ou d’urgence auquel il s'est livré selon ses propres allégations confirmées par celles de son amie –, soit alors déboîter pour devancer le véhicule de R.________, ce qui aurait été possible dès lors qu’il n’y avait personne sur la voie de gauche. En devant procéder à un freinage d’urgence, alors que le véhicule qui le précédait roulait à 95 km/h et que lui-même circulait à 110 km/h, on ne peut que retenir que l’appelant a été inattentif à la circulation, ce d’autant plus que les conditions étaient bonnes, à savoir que cette nuit-là, la visibilité était étendue, la route était sèche et il faisait beau. Partant, l’appelant a violé les art. 3 OCR et 31 al. 1 LCR. Un complément d'instruction sous la forme d'une expertise est dès lors inutile.</w:t>
      </w:r>
    </w:p>
    <w:p>
      <w:r>
        <w:rPr>
          <w:b/>
        </w:rPr>
        <w:t>E. 3.1</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Selon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rPr>
          <w:b/>
        </w:rPr>
        <w:t>E. 3.2</w:t>
      </w:r>
    </w:p>
    <w:p>
      <w:r>
        <w:t>En l'espèce, la culpabilité de l'intéressé ne peut pas être qualifiée de légère, dès lors qu'il a provoqué un accident de la circulation routière dont les conséquences auraient pu être fatales. En outre, l'appelant a montré quelques difficultés à admettre ses torts, persistant à vouloir  rendre plausible un état de fait plus favorable. Sans perdre de vue que le présent jugement est de nature à influer sur la décision administrative à intervenir et qu'un retrait de permis s'avèrera lourdement handicapant pour le prévenu, la sanction infligée doit faire réfléchir l'intéressé sur le fait qu'il n'est pas à l'abri d'une erreur sur la route et qu'il lui incombe, comme à tout un chacun, de tout faire pour maîtriser son véhicule. Au regard de l'ensemble de ces éléments, la peine infligée – qui est complémentaire à celle prononcée par le Ministère public le 30 septembre 2011 – est clémente et ne peut donc qu'être confirmée.</w:t>
      </w:r>
    </w:p>
    <w:p>
      <w:r>
        <w:rPr>
          <w:b/>
        </w:rPr>
        <w:t>E. 4</w:t>
      </w:r>
    </w:p>
    <w:p>
      <w:r>
        <w:t>En conclusion, l’appel doit être rejeté. L’appelant, qui succombe, supportera les frais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