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2012 / 221 vom 16. Februar 2012</w:t>
      </w:r>
    </w:p>
    <w:p>
      <w:r>
        <w:t>VD Tribunal cantonal, 2012-02-16, FR</w:t>
      </w:r>
    </w:p>
    <w:p>
      <w:r>
        <w:rPr>
          <w:b/>
        </w:rPr>
        <w:t xml:space="preserve">Quelle: </w:t>
      </w:r>
      <w:r>
        <w:t>https://mcp.opencaselaw.ch/entscheid/vd_findinfo_Jug___2012___221</w:t>
      </w:r>
    </w:p>
    <w:p>
      <w:r>
        <w:t>FR: VD_FINDINFO Jug / 2012 / 221 du 16 février 2012</w:t>
      </w:r>
    </w:p>
    <w:p>
      <w:r>
        <w:t>IT: VD_FINDINFO Jug / 2012 / 221 del 16 febbraio 2012</w:t>
      </w:r>
    </w:p>
    <w:p>
      <w:pPr>
        <w:pStyle w:val="Heading2"/>
      </w:pPr>
      <w:r>
        <w:t>Regeste</w:t>
      </w:r>
    </w:p>
    <w:p>
      <w:r>
        <w:t>VIOL, TENTATIVE{DROIT PÉNAL}, VIOLATION DE DOMICILE, LIBRE APPRÉCIATION DES PREUVES | 186 CP, 22 ad 190 CP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l’appel doit être rejeté et le jugement attaqué confirmé dans son entier. Vu l'issue de la cause, les frais de la procédure d'appel doivent être mis à la charge de C.________ (art. 428 al. 1 CPP). Outre l'émolument, qui se monte à 1'910 fr., (art. 21 al. 1 et 2 TFJP [Tarif des frais judiciaires pénaux du 28 septembre 2010, RSV 312.03.1]), ces frais comprennent l'indemnité de conseil d'office de la plaignante pour la procédure d'appel allouée à Me De Courten par 2’214 fr. (433 al. 1 let.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