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211 vom 14. August 2012</w:t>
      </w:r>
    </w:p>
    <w:p>
      <w:r>
        <w:t>VD Tribunal cantonal, 2012-08-14, FR</w:t>
      </w:r>
    </w:p>
    <w:p>
      <w:r>
        <w:rPr>
          <w:b/>
        </w:rPr>
        <w:t xml:space="preserve">Quelle: </w:t>
      </w:r>
      <w:r>
        <w:t>https://mcp.opencaselaw.ch/entscheid/vd_findinfo_Jug___2012___211</w:t>
      </w:r>
    </w:p>
    <w:p>
      <w:r>
        <w:t>FR: VD_FINDINFO Jug / 2012 / 211 du 14 août 2012</w:t>
      </w:r>
    </w:p>
    <w:p>
      <w:r>
        <w:t>IT: VD_FINDINFO Jug / 2012 / 211 del 14 agosto 2012</w:t>
      </w:r>
    </w:p>
    <w:p>
      <w:pPr>
        <w:pStyle w:val="Heading2"/>
      </w:pPr>
      <w:r>
        <w:t>Regeste</w:t>
      </w:r>
    </w:p>
    <w:p>
      <w:r>
        <w:t>DIVORCE, PRÉVOYANCE PROFESSIONNELLE, PARTAGE{SENS GÉNÉRAL}, INTÉRÊT RÉMUNÉRATOIRE, INTÉRÊT MORATOIRE | 122 CC, 22 LFLP</w:t>
      </w:r>
    </w:p>
    <w:p>
      <w:pPr>
        <w:pStyle w:val="Heading2"/>
      </w:pPr>
      <w:r>
        <w:t>Erwägungen</w:t>
      </w:r>
    </w:p>
    <w:p>
      <w:r>
        <w:rPr>
          <w:b/>
        </w:rPr>
        <w:t>E. 14</w:t>
      </w:r>
    </w:p>
    <w:p>
      <w:r>
        <w:t>novembre au 31 décembre 2011, puis d'au moins 1,5 % l'an du 1 er janvier 2012 jusqu'au jour du transfert ou de la demeure, et de verser ce montant en faveur de Q.________ sur le compte de libre passage ouvert auprès de la Fondation de libre passage B.________. II. En cas de retard dans le transfert de la prestation de libre passage calculée comme indiqué ci-dessus, la C.________ Pensionskasse versera sur le compte de libre passage ouvert auprès de la Fondation de libre passage B.________, en faveur de Q.________, un intérêt moratoire (d'au moins 2,5 % l'an) sur le montant à transférer de 31'903 fr. 40 (trente et un mille neuf cent trois francs et quarante centimes), qui courra le cas échéant dès le 31 e jour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Me Marc Häsler (pour R.K.________), ‑ Q.________, - C.________ Pensionskasse, - Fondation de libre passage B.________, - Office fédéral des assurances sociales, et communiqué au :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