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210 vom 6. August 2012</w:t>
      </w:r>
    </w:p>
    <w:p>
      <w:r>
        <w:t>VD Tribunal cantonal, 2012-08-06, FR</w:t>
      </w:r>
    </w:p>
    <w:p>
      <w:r>
        <w:rPr>
          <w:b/>
        </w:rPr>
        <w:t xml:space="preserve">Quelle: </w:t>
      </w:r>
      <w:r>
        <w:t>https://mcp.opencaselaw.ch/entscheid/vd_findinfo_Jug___2012___210</w:t>
      </w:r>
    </w:p>
    <w:p>
      <w:r>
        <w:t>FR: VD_FINDINFO Jug / 2012 / 210 du 6 août 2012</w:t>
      </w:r>
    </w:p>
    <w:p>
      <w:r>
        <w:t>IT: VD_FINDINFO Jug / 2012 / 210 del 6 agosto 2012</w:t>
      </w:r>
    </w:p>
    <w:p>
      <w:pPr>
        <w:pStyle w:val="Heading2"/>
      </w:pPr>
      <w:r>
        <w:t>Regeste</w:t>
      </w:r>
    </w:p>
    <w:p>
      <w:r>
        <w:t>MOTIF DE RÉVISION, DÉCISION D'IRRECEVABILITÉ, RÉVISION{DÉCISION} | 410 al. 1 let. a CPP (CH), 412 al. 2 CPP (CH)</w:t>
      </w:r>
    </w:p>
    <w:p>
      <w:pPr>
        <w:pStyle w:val="Heading2"/>
      </w:pPr>
      <w:r>
        <w:t>Erwägungen</w:t>
      </w:r>
    </w:p>
    <w:p>
      <w:r>
        <w:rPr>
          <w:b/>
        </w:rPr>
        <w:t>E. 1</w:t>
      </w:r>
    </w:p>
    <w:p>
      <w:r>
        <w:t>La requête de révision a été déposée le 30 juillet 2012 contre une ordonnance pénale rendue le 18 mai 2012. Partant, c’est le Code de procédure pénale entré en vigueur le 1 er janvier 2011 qui s’applique tant à la procédure qu’aux motifs de la révision (TF 6B_310/2011 du 20 juin 2011 c. 1.1).</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6B_310/2011 du 20 juin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w:t>
      </w:r>
    </w:p>
    <w:p>
      <w:r>
        <w:rPr>
          <w:b/>
        </w:rPr>
        <w:t>E. 2.2</w:t>
      </w:r>
    </w:p>
    <w:p>
      <w:r>
        <w:t>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 2.3). Il n'y a pas de motif de revenir sur cette jurisprudence, rendue sous l'empire de l'ancien droit, qui s'applique aussi à une procédure de révision régie par le CPP (TF 6B_310/2011 précité c. 1.3).</w:t>
      </w:r>
    </w:p>
    <w:p>
      <w:r>
        <w:rPr>
          <w:b/>
        </w:rPr>
        <w:t>E. 2.3</w:t>
      </w:r>
    </w:p>
    <w:p>
      <w:r>
        <w:t>En l'espèce, la demande de révision est abusive, car elle repose sur un fait que le requérant connaissait initialement, soit qu'il disposait d'un permis de conduire valable pour cyclomoteurs. Il ne s'agit donc pas d'un élément de fait inconnu au sens de l'art. 410 al. 1 let. a CPP, lequel serait nouvellement parvenu à la connaissance du requérant. Le fait que celui-ci ait pu croire, comme il l'affirme, que le procureur aurait eu d'office connaissance des informations détenues par le Service des automobiles et de la navigation ne le dispensait pas d'exercer son droit d'opposition au moment où il a pris connaissance de sa condamnation. On ne saurait non plus suivre le requérant lorsqu'il prétend qu'il était convaincu que la renonciation de l'autorité administrative à prononcer une sanction mettait fin à cette affaire également sur le plan pénal, puisque cette décision administrative n'a été rendue que le 19 juin 2012, soit plus d'un mois après l'ordonnance pénale (P. 7/2.6). Il aurait donc dû révéler les faits pertinents qu'il connaissait dans le cadre de la procédure d'opposition à l'ordonnance pénale et sa requête est aujourd'hui tardive. Il convient dès lors de prononcer une décision de non-entrée en matière au sens de l'art. 412 al. 2 CPP, les moyens de révision invoqués étant irrecevables.</w:t>
      </w:r>
    </w:p>
    <w:p>
      <w:r>
        <w:rPr>
          <w:b/>
        </w:rPr>
        <w:t>E. 3</w:t>
      </w:r>
    </w:p>
    <w:p>
      <w:r>
        <w:t>En définitive, la demande de révision présentée par G.________ est irrecevable. Vu l'issue de la cause, les frais de révision (art. 21 TFJP [Tarif des frais judiciaires pénaux du 28 septembre 2010, RSV 312.03.1], par renvoi de l'art. 22 TFJP) sont mis à sa charge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