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202 vom 6. Juni 2012</w:t>
      </w:r>
    </w:p>
    <w:p>
      <w:r>
        <w:t>VD Tribunal cantonal, 2012-06-06, FR</w:t>
      </w:r>
    </w:p>
    <w:p>
      <w:r>
        <w:rPr>
          <w:b/>
        </w:rPr>
        <w:t xml:space="preserve">Quelle: </w:t>
      </w:r>
      <w:r>
        <w:t>https://mcp.opencaselaw.ch/entscheid/vd_findinfo_Jug___2012___202</w:t>
      </w:r>
    </w:p>
    <w:p>
      <w:r>
        <w:t>FR: VD_FINDINFO Jug / 2012 / 202 du 6 juin 2012</w:t>
      </w:r>
    </w:p>
    <w:p>
      <w:r>
        <w:t>IT: VD_FINDINFO Jug / 2012 / 202 del 6 giugno 2012</w:t>
      </w:r>
    </w:p>
    <w:p>
      <w:pPr>
        <w:pStyle w:val="Heading2"/>
      </w:pPr>
      <w:r>
        <w:t>Regeste</w:t>
      </w:r>
    </w:p>
    <w:p>
      <w:r>
        <w:t>ACTION EN LIBÉRATION DE DETTE, NOVATION, COMPTE COURANT, FIDÉLITÉ | 117 al. 2 CO, 60 al. 3 CO, 83 al. 2 LP</w:t>
      </w:r>
    </w:p>
    <w:p>
      <w:pPr>
        <w:pStyle w:val="Heading2"/>
      </w:pPr>
      <w:r>
        <w:t>Erwägungen</w:t>
      </w:r>
    </w:p>
    <w:p>
      <w:r>
        <w:rPr>
          <w:b/>
        </w:rPr>
        <w:t>E. 11</w:t>
      </w:r>
    </w:p>
    <w:p>
      <w:r>
        <w:t>avril 1889, RS 281.1). L'action porte sur la créance faisant l'objet de la poursuite n° [...] représentant le solde du prêt qui lui a été accordé en compte courant n° [...], le 10 juin 1998, à hauteur de 100'000 fr., puis augmenté à 123'050 fr. à la suite d'un nouveau prêt le 24 juillet 2001. Il entend invalider les accusés de bien-trouvé relatifs au compte pour erreur, dol et lésion et soutient que la défenderesse, gérante et titulaire d'intérêts contradictoires, a agi comme un organe de fait de R.________ S.A. Elle était dès lors tenue à un devoir étendu de loyauté et d'information, devoir qu'elle a violé; elle doit en conséquence réparation. Il invoque également l'abus de droit et la mauvaise foi de la banque qui ne saurait exiger de lui une prestation alors qu'elle a elle-même violé ses obligations, violations à l'origine de l'engagement qu'il a souscrit. Il soulève enfin l' exceptio doli de l'art. 60 al. 3 CO (Loi fédérale du 30 mars 1911 complétant le code civil suisse (Livre cinquième: Droit des obligations, RS 220) pour s'opposer aux prétentions de la défenderesse. De son côté, la défenderesse invoque l'art. 31 al. 1 CO pour contester l'invalidation des accusés de bien-trouvé. Elle soutient qu'elle n'avait aucune obligation d'information ou de mise en garde s'agissant des engagements du demandeur et qu'il n'y a eu, pour le surplus, ni abus de droit au sens de l'art. 2 CC (Code civil suisse du 10 décembre 1907, RS 210), ni engagement excessif au sens des art. 27 al. 2 CC et 20 CO. II. A titre liminaire, il convient de préciser que le CPC (Code de procédure civile du 19 décembre 2008, RS 272), applicable aux affaires civiles contentieuses (art. 1 let. a CPC), est entré en vigueur le 1 er janvier 2011. L'art. 404 al. 1 CPC dispose que les procédures en cours à l'entrée en vigueur de la présente loi sont régies par l'ancien droit de procédure jusqu'à la clôture de l'instance. La présente procédure a été introduite par demande du 12 mars 2007 et était toujours en cours le 1 er janvier 2011. Elle demeure donc régie par l'ancien droit de procédure, soit le CPC-VD (Code de procédure civile vaudoise du 14 décembre 1966 dans sa teneur au 31 décembre 2010, RSV 270.11). III. a)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 Le calcul de ce délai relève du droit fédéral. Jusqu'au 1 er janvier 2011, si le droit cantonal de procédure ouvrait une voie de recours ordinaire contre le prononcé de mainlevée provisoire, comme c'était le cas en procédure civile vaudoise, qui prévoyait un recours avec effet suspensif (art. 38 al. 2 let. b et 59 al. 1 loi du 18 mai 1955 d'application dans le Canton de Vaud de la loi fédérale sur la poursuite pour dettes et la faillite, dans sa version en vigueur jusqu'au 31 décembre 2010), le délai pour ouvrir action en libération de dette courait du jour où le délai de recours avait expiré sans avoir été utilisé, du jour du retrait du recours ou de celui de la notification de la décision de l'autorité de recours (TF 5A_516/2007 du 24 janvier 2008 c. 2; ATF 127 III 569 c. 4a et les réf. cit., JT 2001 II 46, SJ 2002 I 54). En l'espèce, le demandeur a recouru contre le prononcé de mainlevée provisoire, mais a retiré son acte le 20 février 2007. En déposant sa demande le 12 mars suivant, le demandeur a ouvert action en temps utile. b) Selon l'art. 272 al. 1 CPC-VD, le défendeur peut prendre des conclusions reconventionnelles, pourvu qu'elles soient connexes à la demande principale. Selon la jurisprudence, il y a notamment connexité, lorsque les deux prétentions ont leur origine dans un même contrat ou dans des actes en rapport étroit avec ce contrat (JT 1917 III 75). En l'espèce, les conclusions reconventionnelles de la défenderesse portent sur la même créance et ont le même objet que l'action en libération de dette. Elles sont par conséquent connexes et donc recevables. IV.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SJ 2009 I 73;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JT 1994 II 112 et les réf. cit.).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alors qu'il appartient au poursuivi de se défendre en démontrant qu'il ne doit pas les sommes qu'on lui réclame. Le fait que le débiteur ait matériellement une position de défendeur dans l'action en libération de dette trouve en définitive son origine dans le mécanisme de la mainlevée (ATF 131 III 268 c. 3.1 et les réf. cit.; ATF 130 III 285 c. 5.3.1, JT 2005 II 117, SJ 2004 I 269; ATF 127 III 232 c. 3a et les réf. cit.; ATF 116 II 131 c. 2, JT 1992 II 63; Gilliéron, op. cit., n. 55 ad art. 83 LP; Muster, La reconnaissance de dette abstraite, Art. 17 CO et 82 ss LP : Etude historique et de droit actuel, thèse Lausanne 2004, pp. 232-233; Tevini Du Pasquier, Commentaire romand, n. 7 ad art. 17 CO). Les parties ne sont pas limitées aux moyens invoqués dans la procédure de mainlevée (ATF 122 III 262, SJ 1996 I 628 c. 2a; ATF 116 II 131 c. 2, JT 1992 II 63; Gilliéron, op. cit., n. 55 ad art. 83 LP).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4C_30/2006 du 18 mai 2006 c. 3.2; Schwenzer, Commentaire bâlois, 4 ème éd., n. 2 ad art. 17 CO; Tevini Du Pasquier, op. cit., n. 1 ad art. 17 CO). Si, en droit des obligations, une reconnaissance de dette, causée ou non (art. 17 CO), n'a pas d'effet sur l'existence quant au fond de l'obligation du débiteur, elle entraîne sous l'angle procédural un renversement du fardeau de la preuve : il n'appartient pas au créancier de prouver la cause de sa créance, mais bien au débiteur qui conteste sa dette d'établir la cause de l'obligation et de démontrer que cette cause n'est pas valable ou ne peut plus être invoquée (TF 4A_17/2009 du 14 avril 2009 c. 3.2; ATF 131 III 268 c. 3.1; TF 4C_244/1999 du 22 février 2000 c. 2a; ATF 105 II 183 c. 4 et les réf. cit.; Gilliéron, op. cit., n. 81 ad art. 83 LP et la jurisprudence citée; Tercier, Le droit des obligations, 3 ème éd., n. 311; Tevini Du Pasquier, op. cit., n. 7 ad art. 17 CO). Le débiteur peut ainsi prouver, avec pour effet l'invalidité de la reconnaissance de dette, que le contrat est illicite, immoral, entaché d'un vice de volonté ou que le créancier n'a pas encore exécuté sa prestation (ATF 131 III 268 c. 3.1; Muster, op. cit., pp. 115 s. et la jurisprudence citée). V. a) Le contrat d'ouverture de crédit en compte courant est celui par lequel une banque autorise son client, pendant un certain temps, à procéder à des retraits et à devenir débiteur de la banque selon ses besoins. Le client peut aussi effectuer des remboursements et diminuer sa dette, ou même devenir créancier de la banque. Le montant du prêt est donc variable. Les retraits et les remboursements sont comptabilisés en compte courant. Les intérêts sont fonction de l'utilisation effective de la limite de crédit (TF 4A_127/2010 du 7 février 2011 c. 5; ATF 130 III 694 c. 2.2.1, JT 2006 I 192, SJ 2005 I 101; TF 4C_345/2002 du 3 mars 2003 c. 3.1; Lombardini, Droit bancaire suisse, Genève 2008, 2 ème éd., pp. 411 ss; Guggenheim, Les contrats de la pratique bancaire suisse, Genève 2000, 4ème éd.; pp. 255 et 260). Ce contrat est un contrat sui generis, non réglementé par la loi. La doctrine moderne ( Guggenheim, op. cit., p. 261; Etter, Le contrat de compte courant, thèse Lausanne 1992, p. 119) est d’avis, suivant en cela d’anciens auteurs (Aeschlimann, Der Krediteröffnungsvertrag, thèse Berne 1925, p. 25/26; Kaderli, Die Sicherung des Bankkredites, thèse Berne 1938, p. 6), qu’il convient de lui appliquer les dispositions générales du Code des obligations, mais aussi, par analogie, certaines dispositions régissant le contrat de prêt (art. 312 ss CO), en particulier en ce qui concerne la résiliation du contrat (TF 4C_345/2002 du 3 mars 2003 c. 3.1). Ainsi, à défaut de clause spécifique convenue entre les parties, l’emprunteur a, pour restituer la chose, six semaines qui commencent à courir dès la première réclamation du prêteur (art. 318 CO). Des clauses stipulant la dénonciation et le remboursement du prêt en tout temps avec effet immédiat sont admises par la doctrine, sous réserve du respect des art. 27 CC, 19 et 21 CO (Guggenheim, op. cit., pp. 113 ss; Etter, op. cit., pp. 111 et 242 ss; Bovet, Commentaire romand, n. 3 ad art. 318 CO). La fin du contrat de compte courant transforme en solde la position du compte existant à ce moment-là (ATF 130 III 694 c. 2.2.3, JT 2006 I 192, SJ 2005 I 101). Dans un compte courant, les prétentions et contre-prétentions portées en compte s’éteignent par compensation, si bien qu’une nouvelle créance prend naissance à concurrence du solde. Il y a novation lorsque le solde du compte a été arrêté et reconnu (art. 117 al. 2 CO). Celle-ci est un contrat par lequel les parties éteignent une ancienne obligation en lui substituant une obligation nouvelle, distincte de l’ancienne. La novation ne se présume pas (art. 116 al. 1 CO). Savoir si les parties ont eu la volonté de créer une nouvelle dette à la place de l’ancienne relève de l’interprétation (ATF 126 III 375 c. 2f; Piotet, Commentaire romand, n. 1 ad art. 116 CO). La novation ne peut résulter d’un acte juridique unilatéral, par exemple d’une reconnaissance de dette (Piotet, op. cit., n. 2 ad art. 116 CO). Après novation, il est possible d’actionner en paiement sans devoir démontrer l’existence de la prétention, pour autant que la créance antérieure sur laquelle repose la nouvelle existait déjà (Guggenheim, op. cit., p. 482). Les parties peuvent convenir d’une reconnaissance tacite. La reconnaissance du solde, emportant novation, suppose une cause valable; il s’agit d’une renonciation aux exceptions et objections connues (TF 4A_127/2010 du 7 février 2011 c. 5; ATF 130 III 694 c. 2.2.2, JT 2006 I 192, SJ 2005 I 101; TF 4C_345/2002 du 3 mars 2003 c. 3.1; Lombardini, op. cit., nn. 32 à 36). L’interdiction de l’anatocisme n’est pas applicable aux contrats de compte courant (art. 314 al. 3 CO). Les intérêts ne sont toutefois susceptibles de rapporter eux-mêmes des intérêts que si, par novation, ils sont devenus des éléments du capital. À défaut de reconnaissance du solde, les intérêts ne peuvent donc pas porter intérêts. Les commissions perçues régulièrement sur le capital mis à disposition sont traitées comme des intérêts; elles ne peuvent donc également devenir capital que par novation (ATF 130 I 694 c. 2.2.3, JT 2006 I 192, SJ 2005 I 101). b) En l'espèce, le 8 août 2003, la défenderesse a résilié, avec effet immédiat, le crédit en compte courant du demandeur et l’a mis en demeure de rembourser le solde du compte n° [...] au 30 juin 2003, dans le délai au 20 août 2003, conformément aux conditions générales faisant partie intégrante du contrat. Le 19 août 2003, le demandeur a signé un accusé de bien-trouvé reconnaissant l'exactitude du relevé dudit compte à la date de bouclement, soit au 30 juin 2003, à hauteur de 120'110 fr. 20 plus intérêts à 3.5 % sur 119'000 fr. et 10 % plus commission trimestrielle de 0.25 % sur le solde. Cette reconnaissance du solde emporte novation. A partir de cette date-là, en revanche, seuls des intérêts moratoires peuvent être exigés du débiteur, l’anatocisme étant prohibé. Le demandeur a signé un nouveau document le 30 novembre 2004, reconnaissant le solde du compte au 30 septembre 2004, savoir 117'170 fr. plus intérêts à 3.5 % et 1’174 fr. 05 plus intérêts à 10 % et 0.25 % de commission trimestrielle. Ce document a été signé par le demandeur alors que le contrat de compte courant était résilié depuis plus d’un an. Ce n'est donc qu'un acte unilatéral, plus précisément une reconnaissance de dette qui n'a pas emporté novation et n'a pas créé de nouvelle dette. VI. Le demandeur se prévaut d'une invalidation pour vices du consentement et lésion des avis de bien-trouvé, soit en particulier de celui du 19 août 2003. Selon lui, ces documents auraient été établis dans la ligne des contrats conclus avec la défenderesse et seraient affectés des mêmes vices que ces derniers, en ce sens qu'en taisant des circonstances factuelles qu'elle connaissait et qu'elle se devait de révéler en vertu de son mandat ou de ses devoirs précontractuels, la banque aurait agi contrairement au droit. Selon l'art. 31 al. 1 CO, le contrat entaché notamment d'erreur ou de dol est tenu pour ratifié lorsque la partie qu'il n'oblige point a laissé s'écouler une année sans déclarer à l'autre sa résolution de ne pas le maintenir ou sans répéter ce qu'elle a payé. En d'autres termes, le contrat entaché d'un tel vice n'oblige pas la partie qui s'en prévaut, pourvu qu'elle le déclare dans le délai d'un an. Quant à la lésion, l'art. 21 al. 1 CO prévoit qu'en cas de disproportion évidente entre la prestation promise par l'une des parties et la contreprestation de l'autre, la partie lésée peut, dans un délai d'un an, déclarer qu'elle résilie le contrat et répéter ce qu'elle a payé, si la lésion a été déterminée par l'exploitation de sa gêne, de sa légèreté ou de son inexpérience. Le délai court dès la conclusion du contrat (art. 21 al. 2 CO). Les griefs du demandeur, qui n'a d'ailleurs rien allégué en ce qui concerne les circonstances ayant présidé à la signature des documents, doivent être rejetés sans qu'il soit nécessaire d'examiner en détails l'existence d'un éventuel vice du consentement ou d'une lésion. En effet, s'ils existaient, ceux-ci auraient été couverts par la ratification des actes. S'agissant des vices du consentement, le demandeur n'alléguant pas à quelle date il a découvert l'erreur ou le dol, on doit considérer que c'était à tout le moins le cas à la date du dépôt de la demande, soit le 12 mars 2007. Or, ce n'est que dans sa réplique du 1 er décembre 2008, soit plus d'un an après, que le demandeur a soulevé ce moyen. Quant à une éventuelle lésion, le délai d'un an de l'art. 21 CO était déjà échu en date du 1 er décembre 2008, les actes ayant été signés les 19 août 2003 et 30 novembre 2004. Sous réserve de l'examen des autres moyens du demandeur, la défenderesse est donc fondée à réclamer à ce dernier le montant reconnu dans l'accusé de bien-trouvé du 19 août 2003, avec intérêts, sous déduction de l'acompte de 420 fr. valeur au 28 juillet 2003 qui y est mentionné et des autres acomptes versés dès le 19 août 2003. VII. a) Le demandeur soutient qu'en raison de sa position de gérante de fait et du conflit d'intérêts entre les parties, la défenderesse était tenue à un devoir de diligence et d'information accru qui l'obligeait non seulement à le mettre en garde, mais aussi à le dissuader d'emprunter. En lui octroyant les deux prêts litigieux qui ne servaient que ses intérêts propres, de même qu'en lui faisant signer les accusés de bien-trouvé, la banque a, selon lui, violé ses obligations contractuelles et lui doit dès lors réparation. Aux prétentions de la défenderesse, il oppose en compensation son dommage qu'il estime équivalent au montant de sa dette. b) La jurisprudence s’est interrogée sur les devoirs spécifiques d’information et de conseil des banques (TF 4C_108/2002 du 23 juillet 2002 c. 2b, Pra 2003 n° 51 p. 244; TF 4C_410/1997 du 23 juin 1998 c. 3, Pra 1998 n° 155 p. 827, SJ 1999 I 205; ATF 124 III 155 c. 3a, JT 1999 I 125; ATF 119 Il 333 c. 5a, JT 1994 I 610). Ces devoirs, dits accessoires, peuvent prendre une signification juridique tant dans le cadre des négociations préalables (pourparlers contractuels) que lors du déroulement et après la fin du contrat. Le point de savoir s’ils découlent de l’art. 398 al. 2 CO, ce qui suppose un rapport de mandat préexistant, ou s’ils reposent sur le principe de la confiance, voire sur la culpa in contrahendo , peut demeurer indécis dès lors que ces différents fondements n’influencent pas le contenu même de ces devoirs (SJ 2005 I 164 c. 3.2 et les réf. cit.; SJ 1999 I 205 c. 3a). De plus, lorsque la violation du devoir d'information a lieu avant la conclusion du contrat litigieux, mais que finalement ce contrat a été conclu, la responsabilité contractuelle absorbe la responsabilité précontractuelle (TF 4C_205/2006 du 21 février 2007 c. 3.2 et les réf. cit.). Pour que la défenderesse puisse être tenue à réparation, il faut que soient établis une violation contractuelle, une faute, un dommage et le lien de causalité entre la faute et le dommage. Selon la jurisprudence, la banque, pas plus que n’importe quel partenaire en négociation, n’est tenue de libérer le client potentiel du risque lié à sa décision. La règle de base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(TF 4C_108/2002 du 23 juillet 2002 c. 2b). A titre exceptionnel toutefois, la banque est tenue à un devoir de loyauté l’obligeant d’informer le client de manière étendue. Tel est notamment le cas, lorsque la banque peut prévoir un danger non reconnaissable pour le client et menaçant un placement ou en cas de conflit d’intérêts.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4C_82/2005 du 4 août 2005 c. 6.2; TF 4C_410/1997 du 23 juin 1998 précité c. 3c in fine ). Un devoir d’information marqué incombant à une banque en matière de contrat de prêt est exceptionnel et n’existe que lorsque les parties sont déjà liées par un rapport durable de confiance dépassant la conclusion du seul contrat, lorsque la banque recommande au client la conclusion d’un contrat de crédit lié à certains placements financiers, lorsqu’un client inexpérimenté se fie de manière reconnaissable aux renseignements, conseils et informations de la banque, ou lorsque la banque se trouve dans une situation de conflit d’intérêts (TF 4C_205/2006 du 21 février 2007 c. 3.4; TF 4C_410/1997 du 23 juin 1998 c. 3c, SJ 1999 I 205). Si la violation du devoir de diligence de la banque est propre à engager sa responsabilité, le client dispose d’une prétention en dommages-intérêts qu’il peut opposer en compensation aux prétentions que fait valoir la banque à son encontre (TF 4C_82/2005 du 4 août 2005 c. 7; sur ce mécanisme, cf. TF 4C_410/1997 du 23 juin 1998 c. 1; Emmenegger, Le devoir d’information du banquier, in La responsabilité pour l’information fournie à titre professionnel, Journée de la responsabilité civile 2008, p. 70). Un conflit d’intérêt n’existe que lorsque la banque privilégie ses propres intérêts au détriment de ceux de son client ou de tiers, par exemple lorsqu’elle encourage des crédits à une entreprise en danger dans le but de favoriser le remboursement de ses propres créances incertaines (TF 4C_205/2006 du 21 février 2007 c. 3.4.2; TF 4C_82/2005 du 4 août 2005 c. 6.2 ; TF 4C_410/1997 du 23 juin 1998, SJ 1999 I p. 205, c. 3c et les réf. cit.). Un auteur admet la responsabilité de la banque en raison de l'octroi d'un crédit excessif, qui expose illicitement l'emprunteur à un dommage, à savoir d'un crédit qui n'est justifié ni par son objet, ni par la capacité de l'emprunteur, ni par sa dignité, ces trois conditions étant alternatives (Chaudet, L'obligation de diligence du banquier en droit privé, in RDS [Revue de droit suisse] 1994 II 1, n. 126, pp. 63s). Outre que cette thèse s'appuie sur de la jurisprudence et de la doctrine française (Chaudet, loc. cit. note infrapaginal, n. 202), elle n'est pas suivie par le Tribunal fédéral (TF 4C_108/2002, op. cit.) et la doctrine suisse. Le seul octroi de crédits importants, voire excessifs, n'a jamais été considéré en droit suisse comme un facteur de responsabilité, les exemples – rares – à l'étranger n'ayant jamais véritablement fait école dans notre pays (Chapuis, in Les banques et la loi sur la poursuites pour dette et la faillite, p. 15 et les réf. cit.). Cet avis est partagé par d'autres auteurs qui semblent n'envisager de responsabilité que vis-à-vis des tiers, si l'octroi inconsidéré de crédits fait naître des apparences trompeuses quant à la solvabilité et la solidité de l'entreprise (Lombardini, op. cit., p. 839, n. 28 et p. 848, nn. 57 ss; Guggenheim, op. cit., pp. 266-267). Un de ces auteurs précise que les banques ne doivent pas supporter les risques de l'activité économique de leurs clients. Si elles octroient un crédit à un débiteur devenu insolvable, elles sont suffisamment sanctionnées par le fait qu'elles perdent, en tout ou partie, le montant de leurs créances (Lombardini, op. cit., p. 848, n. 60). c) La banque n'étant en règle générale pas tenue à un devoir de loyauté l'obligeant à informer son client de manière étendue, il convient de déterminer si, dans le cas d'espèce, la défenderesse y était tenue à titre exceptionnel. En premier lieu, les prêts octroyés n’étaient pas liés à des placements financiers qui requéraient des connaissances particulières. De plus, contrairement à ce que prétend le demandeur, ce dernier n'était pas une personne inexpérimentée. Au bénéfice d'une formation d'architecte et actif dans le domaine de l'import-export avec l'Afrique - comme le révèle l'expertise du 6 avril 2010 - il était seul administrateur de R.________ S.A. Actif au sein de la société, le demandeur connaissait d'ailleurs parfaitement la situation financière de celle-ci. S'agissant d'un potentiel conflit d'intérêts, s'il est exact que la banque connaissait la mauvaise situation financière de R.________ S.A. et que l'expertise a établi que les emprunts excédaient les possibilités financières du demandeur, la banque n'a pas pour autant privilégié ses propres intérêts au détriment de ceux de son client. En effet, on relève que, par ce système de prêt, le demandeur trouvait également son compte. R.________ S.A. étant sa seule source de revenus, éviter la faillite lui permettait ainsi de poursuivre ses activités. Grâce au remboursement du prêt, la société a partiellement été assainie et le demandeur a pu continuer à réaliser un revenu. On ne saurait dire que les intérêts des deux parties étaient diamétralement opposés. La banque gagnait dans l’opération un débiteur qui n’était guère plus solvable, mais qui n’était pas voué à une disparition immédiate et qui pouvait être saisi sur tous ses biens, tandis que le demandeur, devenu seul actionnaire, conservait son outil de travail et se retrouvait à la tête d’une société qui, en éliminant une dette importante, évitait la faillite. Enfin, les deux parties n'étaient pas liées par un rapport de confiance particulier. Un devoir spécifique d'information ou de conseil envers son client n'existait donc pas dans le cas présent. Au demeurant, dans l'hypothèse où tel aurait été le cas, la cour peine à saisir quel aurait dû être son contenu. En effet, en tant qu'unique membre du conseil administration de la société, le demandeur avait lui-même le devoir d'aviser le juge en cas de surendettement selon l'art. 725 CO. Il était donc pleinement conscient de la situation financière de sa société. En d'autres termes, le demandeur semble reprocher à la défenderesse de ne pas l'avoir informé d'une situation qu'il connaissait déjà. d) A supposer que l'on retienne une violation du contrat et une faute de la banque, laquelle est présumée dans le régime de la responsabilité contractuelle, encore faudrait-il que le demandeur établisse son dommage et le lien de causalité naturelle et adéquate entre le dommage et la violation de diligence de la banque. Le demandeur soutient, en se référant à la jurisprudence du Tribunal fédérale, que son dommage équivaut aux montants qu’il doit lui-même verser à la banque (TF 4C_82/2005 du 4 août 2005). Dans l’arrêt précité, le Tribunal fédéral n’a pas édicté un principe général et ce sont les règles habituelles qui doivent s’appliquer. Dans l’arrêt en question, l’emprunteuse avait voulu aider un membre de sa famille et avait remis l’argent emprunté à un tiers sans en retirer aucun avantage personnel. Dans la présente cause, le crédit a permis de solder la dette que R.________ S.A. avait à l’égard de la défenderesse. Elle a permis au demandeur, seul actionnaire, d’éviter la faillite de la société et de poursuivre son activité. On sait par l’expertise que le demandeur a gagné des montants à partir de 1997, dont il y aurait lieu de tenir compte. En outre, à ce jour, il n'est pas établi que la faillite de la société ait été prononcée. On ne sait rien de sa situation comptable. Dès lors, le dommage n'a pas été établi. Seul le dommage se trouvant dans un lien de causalité naturelle et adéquate avec la violation du devoir de diligence de la banque doit être réparé. Dès lors que le manquement retenu consiste dans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(TF 4C_82/2005 du 4 août 2005 c. 7.3; ATF 115 II 440 c. 6a p. 449 s). Là encore, le demandeur n'a pas allégué qu'il aurait renoncé aux prêts si la défenderesse l'avait informé des risques potentiels. VIII. a) Le demandeur soutient également qu’en exigeant de lui l’accomplissement de sa contreprestation, savoir le remboursement du prêt, la défenderesse commettrait un abus de droit. Selon lui, le principe de la bonne foi s’oppose à ce que la défenderesse puisse obtenir le remboursement de prêts consentis dans son unique intérêt et dans un contexte de violation de ses obligations contractuelles. Il ajoute que la banque aurait fait passer sous le terme de "crédit" une opération qui s'analyserait en réalité comme une reprise de dette non cumulative à son seul profit. La défenderesse ne cherchait selon lui pas à nouer une relation équilibrée, mais à trouver un nouveau débiteur et de nouvelles garanties pour une créance qu'elle savait perdue. Elle aurait ainsi détourné de leur but les règles du mandat et du prêt. b) A teneur de l'art. 2 al. 2 CC, l'abus manifeste d'un droit n'est pas protégé par la loi. L'existence d'un abus de droit se détermine selon les circonstances concrètes du cas, en s'inspirant des diverses catégories mises en évidence par la jurisprudence et la doctrine (ATF 129 III 493 c. 5.1, JT 2004 I 49 et les arrêts cités). L'emploi dans le texte légal du qualificatif "manifeste"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l'attitude contradictoire (ATF 129 III 493 c. 5.1, JT 2004 I 49; ATF 127 III 357 c. 4c/bb, JT 2002 I 192). La règle prohibant l'abus de droit permet au juge de corriger les effets de la loi dans certains cas où l'exercice d'un droit allégué créerait une injustice manifeste (ATF 134 III 52 c. 2.1, rés. in SJ 2008 I 286 et les réf. cit.).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(ATF 134 III 52 c. 2.1 in fine , rés. in SJ 2008 I 286 et les arrêts cités). c) En l'espèce, dans la mesure où la violation des obligations contractuelles de la défenderesse n'est pas retenue, la défenderesse ne commet pas d'abus de droit en réclamant le remboursement de son prêt. IX. La défenderesse ayant obtenu selon le demandeur un engagement contraire aux intérêts de ce dernier, en taisant, comme mentionné précédemment, des circonstances factuelles que la défenderesse connaissait et qu'elle se devait de lui révéler en vertu de son mandat, aurait notamment agi en violation de l'art. 28 CO. Il soulève dès lors l' exceptio doli de l'art. 60 al. 3 CO, afin de refuser le paiement du montant réclamé par la défenderesse. Selon l'art. 60 al. 3 CO, lorsqu'une personne contracte une dette sous l'influence d'un acte illicite, soit d'un dol, d'une menace ou d'une lésion et que le créancier l'attaque en exécution du contrat, elle peut refuser de s'exécuter. L'exception tirée du dol, de la crainte fondée et de la lésion est imprescriptible (Tercier, op.cit., n. 758, p. 156). Comme on l'a vu, il n'existait pas de rapport de confiance particulier entre les parties. La défenderesse n'a donc pas violé ses obligations contractuelles. De plus, il n'est pas établi qu'elle ait trompé le demandeur, même par omission. En définitive, le demandeur échoue dans son action en libération de dette. Ses conclusions doivent être intégralement rejetées. X.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la défenderesse a droit à de pleins dépens, à la charge du demandeur, qu'il convient d'arrêter à 16'695 fr., savoir : a) 12'000 fr. à titre de participation aux honoraires de son conseil; b) 600 fr. pour les débours de celui‑ci; c) 4'095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