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20 vom 8. September 2011</w:t>
      </w:r>
    </w:p>
    <w:p>
      <w:r>
        <w:t>VD Tribunal cantonal, 2011-09-08, FR</w:t>
      </w:r>
    </w:p>
    <w:p>
      <w:r>
        <w:rPr>
          <w:b/>
        </w:rPr>
        <w:t xml:space="preserve">Quelle: </w:t>
      </w:r>
      <w:r>
        <w:t>https://mcp.opencaselaw.ch/entscheid/vd_findinfo_Jug___2012___20</w:t>
      </w:r>
    </w:p>
    <w:p>
      <w:r>
        <w:t>FR: VD_FINDINFO Jug / 2012 / 20 du 8 septembre 2011</w:t>
      </w:r>
    </w:p>
    <w:p>
      <w:r>
        <w:t>IT: VD_FINDINFO Jug / 2012 / 20 del 8 settembre 2011</w:t>
      </w:r>
    </w:p>
    <w:p>
      <w:pPr>
        <w:pStyle w:val="Heading2"/>
      </w:pPr>
      <w:r>
        <w:t>Regeste</w:t>
      </w:r>
    </w:p>
    <w:p>
      <w:r>
        <w:t>AGGRAVATION DE LA PEINE, FIXATION DE LA PEINE, SURSIS À L'EXÉCUTION DE LA PEINE, PEINE PÉCUNIAIRE | 34 CP, 42 CP, 47 CP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Interjeté dans les formes et délai légaux (cf. art. 399 CPP) contre le jugement d’un tribunal de première instance qui a clos la procédure (art. 398 al. 1 CPP), l'appel du Ministère public, suffisamment motivé au sens de l’art. 399 al. 3 et 4 CPP,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Le Ministère public considère que la peine infligée par le Tribunal correctionnel est trop clémente au vu des circonstances de la cause. Il demande que le prévenu soit condamné avec une peine privative de liberté de deux ans avec sursis pendant deux ans en lieu et place de la peine pécuniaire avec sursis pendant deux ans prononcée à l'encontre de l'intéressé.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l'art. 47 CP correspondent à ceux fixés par l'art. 63 aCP et la jurisprudence élaborée en application de cette disposition, qui conserve toute sa valeur. Ainsi,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 ATF 129 IV 6 c. 6.1).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6B_327/2011 du 7 juillet 2011 c. 2.1; ATF 134 IV 17 c. 2.1).</w:t>
      </w:r>
    </w:p>
    <w:p>
      <w:r>
        <w:rPr>
          <w:b/>
        </w:rPr>
        <w:t>E. 3.2</w:t>
      </w:r>
    </w:p>
    <w:p>
      <w:r>
        <w:t>Dans le cadre de son appel, le Ministère public ne cite aucun élément important, propre à modifier la peine qui aurait été omis ou pris en considération à tort. Il convient dès lors d'examiner si, au vu des circonstances, la peine infligée apparaît exagérément clémente au point de constituer un abus du pouvoir d'appréciation. En l'espèce, le prévenu s’est rendu coupable d’utilisation frauduleuse d’un ordinateur par métier et de faux dans les titres. Sa faute ne saurait être qualifiée de légère. En effet, par ses comportements illicites, commis de février 2003 à octobre 2008, soit durant une longue période, il a soutiré à la plaignante une somme totale de 132’080 fr. 30. Il n’a pas hésité à tromper le rapport de confiance avec son employeur pour lui substituer de l’argent, alors même que celui-ci lui avait tendu la main pour l’aider à s’en sortir, à savoir à rembourser ses dettes. Les motivations de l’intéressé étaient purement égoïstes puisque celui-ci, de son propre aveu, entendait uniquement mener un train de vie au-dessus de ses moyens. Les infractions retenues, qui sont passibles d’une peine privative de liberté de dix ans au plus ou d’une peine pécuniaire de 90 jours-amende au moins pour l’utilisation frauduleuse d’un ordinateur par métier (art. 147 al. 2 CP) et d’une peine privative de liberté de cinq ans au plus ou d’une peine pécuniaire pour le faux dans les titres (art. 251 CP), entrent en concours (art. 49 CP). A décharge, le prévenu a reconnu l’entier des faits qui lui sont reprochés, sans avoir cherché à minimiser la gravité de ceux-ci. En outre, il a reconnu le préjudice de la plaignante et s’est engagé, dans la mesure de ses moyens, à rembourser celle-ci. Certes, on peut regretter que l'appelant, qui a bénéficié des indemnités de l’assurance chômage, à concurrence de 4’000 fr. environ après son licenciement, n’ait pas remboursé le moindre montant à la plaignante, alors même qu’il vivait chez sa mère et n’avait pas de charges, à l’exception d’une participation au loyer et au ménage. Reste qu’aux débats devant le Tribunal correctionnel, il a signé une reconnaissance de dette en faveur de la plaignante à concurrence de 132’080 fr. 30 avec intérêts à 5 % l’an dès le 15 février 2006 à titre de dommages et intérêts et de 3’769 fr. 65 à titre de dépens pénaux. Il s’est engagé à rembourser cette somme par le versement d’un montant de 70’000 fr. à prélever sur son compte libre passage ouvert auprès de la Fondation Libre passage X.________, au plus tard le 31 décembre 2013, le solde devant être acquitté par des mensualités à fixer en fonction de sa situation économique et de sa fortune éventuelle. Il a reconnu, lors de l'audience d'appel, qu'il n'avait pas encore commencé à rembourser sa dette envers la X.________. A 45 ans, le prévenu ne paraît pas pouvoir trouver un emploi et est dès lors contraint de travailler en qualité d’indépendant, sa situation économique étant au demeurant obérée. Par ailleurs, les excuses spontanées adressées à la plaignante le 15 décembre 2008, alors qu’il n’était pas encore assisté d’un conseil, excuses réitérées à l’audience de première instance avec des regrets, sont sincères. Enfin, le prévenu semble avoir pris conscience de la gravité des actes commis. Malgré les éléments à décharge précités, la culpabilité du prévenu reste lourde. Il n'a pas hésité à trahir son employeur pendant une longue période, alors que ce dernier l'avait aidé à rembourser ses dettes. Son mode opératoire est réfléchi et élaboré. Il a procédé à onze opérations d'enrichissement illicite étalées sur cinq ans. Dans ces conditions, la peine pécuniaire de 360 jours-amende infligée par le Tribunal correctionnel est trop clémente et constitue dès lors un abus du pouvoir d'appréciation. Une peine privative de liberté de 15 mois avec sursis pendant 2 ans est adéquate au regard des infractions commises, de la culpabilité du prévenu et de sa situation personnelle.</w:t>
      </w:r>
    </w:p>
    <w:p>
      <w:r>
        <w:rPr>
          <w:b/>
        </w:rPr>
        <w:t>E. 4</w:t>
      </w:r>
    </w:p>
    <w:p>
      <w:r>
        <w:t>En définitive, l'appel du Ministère public doit être partiellement admis et le jugement attaqué modifié au chiffre II de son dispositif en ce sens que V.________ est condamné à une peine privative de liberté de 15 mois. Vu l'issue de la cause, les frais de la procédure d'appel doivent être mis à la charge de V.________ par moitié, le solde étant laissé à la charge de l’Etat (art. 428 al. 1 CPP). Outre l'émolument, qui se monte à 1'800 fr. (art. 21 al. 1 et 2 TFJP [Tarif des frais judiciaires pénaux du 28 septembre 2010, RSV 312.03.1]), ces frais comprennent l'indemnité allouée au défenseur d'office du prévenu (cf. art. 135 al. 2 et 422 al. 2 let. a CPP, art. 2 al. 2 ch. 1 TFJP). Ce dernier a indiqué qu'il avait consacré 8 heures au dossier, de sorte qu'il convient de lui allouer une indemnité de 1'609 fr. 20, TVA et débours inclus (cf. art. 135 al. 1 CPP). V.________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