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 vom 14. September 2011</w:t>
      </w:r>
    </w:p>
    <w:p>
      <w:r>
        <w:t>VD Tribunal cantonal, 2011-09-14, FR</w:t>
      </w:r>
    </w:p>
    <w:p>
      <w:r>
        <w:rPr>
          <w:b/>
        </w:rPr>
        <w:t xml:space="preserve">Quelle: </w:t>
      </w:r>
      <w:r>
        <w:t>https://mcp.opencaselaw.ch/entscheid/vd_findinfo_Jug___2012___2</w:t>
      </w:r>
    </w:p>
    <w:p>
      <w:r>
        <w:t>FR: VD_FINDINFO Jug / 2012 / 2 du 14 septembre 2011</w:t>
      </w:r>
    </w:p>
    <w:p>
      <w:r>
        <w:t>IT: VD_FINDINFO Jug / 2012 / 2 del 14 settembre 2011</w:t>
      </w:r>
    </w:p>
    <w:p>
      <w:pPr>
        <w:pStyle w:val="Heading2"/>
      </w:pPr>
      <w:r>
        <w:t>Regeste</w:t>
      </w:r>
    </w:p>
    <w:p>
      <w:r>
        <w:t>FIXATION DE LA PEINE, PRINCIPE DE LA CÉLÉRITÉ, DISPOSITIONS PÉNALES DE LA LSTUP, SURSIS PARTIEL À L'EXÉCUTION DE LA PEINE, CONFISCATION{DROIT PÉNAL} | 43 CP, 47 CP, 70 CP, 19 al. 1 LStup, 19 ch. 2 LStup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Interjetés dans les formes et délai légaux par des parties ayant la qualité pour recourir contre le jugement d’un tribunal de première instance qui a clos la procédure (art. 398 al. 1 CPP), les appels de A.O.________ et du Ministère public, suffisamment motivés au sens de l’art. 399 al. 3 et 4 CPP,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Les faits reprochés à l'appelant A.O.________ ont été commis avant l'entrée en vigueur, le 1 er juillet 2011, des nouvelles dispositions de la LStup. Le Tribunal de première instance, qui a statué postérieurement à cette date, devait donc examiner si, en vertu du principe de la lex mitior (art. 2 al. 2 CP), le nouveau droit n'était pas plus favorable à l'appelant. La détermination du droit le plus favorable s'effectue par une comparaison concrète de la situation de l'accusé, suivant qu'il est jugé à l'aune de l'ancien ou du nouveau droit. Si les deux droits conduisent au même résultat, c'est l'ancien qui est applicable (TF 6B_706/2008 du 3 décembre 2008 c. 2.1.1; ATF 134 IV 82 c. 6.2.1). Est punissable selon l'ancien art. 19 ch. 1 al. 3 LStup ainsi que selon le nouvel art. 19 al. 1 let. b LStup, celui qui sans droit, transporte des stupéfiants. S'agissant du cas aggravé, l'actuel art. 19 al. 2 let. a LStup prévoit que l’auteur de l’infraction est puni d’une peine privative de liberté d’un an au moins, cette sanction pouvant être cumulée avec une peine pécuniaire, s’il sait ou ne peut ignorer que l’infraction peut directement ou indirectement mettre en danger la santé de nombreuses personnes. En vertu de l'ancien art. 19 ch. 2 let. a LStup, dans les cas graves, soit notamment lorsque l'auteur sait ou ne peut ignorer que l’infraction porte sur une quantité de stupéfiants qui peut mettre en danger la santé de nombreuses personnes, la peine sera une peine privative de liberté de un an au moins qui pourra être cumulée avec une peine pécuniaire (art. 19 ch. 1 LStup). A juste titre, les premiers juges ont appliqué l'ancien droit, puisque les nouvelles dispositions 19 al. 1 et 19 al. 2 let. a LStup ne sont pas plus favorables que celles de l'ancien droit, les deux droits conduisant au même résultat. En outre, on ne se trouve pas en présence d'un des cas d'atténuation prévu au nouvel art. 19 al. 3 LStup. L'appelant n'a d'ailleurs pas contesté l'application de l'ancien droit.</w:t>
      </w:r>
    </w:p>
    <w:p>
      <w:r>
        <w:rPr>
          <w:b/>
        </w:rPr>
        <w:t>E. 4.1</w:t>
      </w:r>
    </w:p>
    <w:p>
      <w:r>
        <w:t>L'appelant A.O.________ invoque d'abord une violation de l'art. 19 ch. 2 let. a LStup. Il reproche aux premiers juges d'avoir retenu le cas grave au motif qu'il ne pouvait ignorer les quantités de drogue qu'il transportait, le jugement ajoutant qu'il en allait plus particulièrement ainsi du dernier voyage à Bâle, puisqu'un tel déplacement n'aurait pas eu de sens pour une petite dose de stupéfiants (jgt, p. 20). Afin d'illustrer ses affirmations, l'appelant prend l'exemple de ce voyage à Bâle et soutient qu'il n'a fait qu'y conduire, puis ramener son cousin B.O.________. Il soutient qu'il est établi que son cousin ne lui a pas parlé de la quantité de produits stupéfiants qu'il était allé chercher à Bâle et qu'à son retour dans son véhicule, il ne portait rien dans les mains. L'appelant se réfère aux déclarations que son cousin a faites lors des débats de première instance (jgt, p. 3), lequel a notamment expliqué qu'il avait dissimulé la drogue sous sa veste et sous ses bras et l'avait posée sous le siège sans que l'appelant ne le voie. Il en conclut qu'il n'est pas possible de retenir à sa charge la quantité de drogue transportée, mais uniquement quelques grammes. D'une façon générale, il en conclut que le cas grave ne peut être retenu contre lui.</w:t>
      </w:r>
    </w:p>
    <w:p>
      <w:r>
        <w:rPr>
          <w:b/>
        </w:rPr>
        <w:t>E. 4.2</w:t>
      </w:r>
    </w:p>
    <w:p>
      <w:r>
        <w:t>et les références citées), l’art. 5 CPP concrétise le principe de célérité et impose aux autorités pénales d’engager les procédures pénales sans délai et de les mener à terme sans retard injustifié (al. 1), la procédure devant être conduite en priorité lorsqu’un prévenu est placé en détention (al. 2). Après la clôture de l’instruction, le prévenu doit en principe être renvoyé devant le juge du fond dans un délai qui, pour être conforme aux exigences des art. 10 Cst. et 5 par. 3 CEDH, ne devrait pas excéder quelques semaines, voire quelques mois. Un délai de plusieurs mois peut se révéler nécessaire dans des procès particulièrement complexes, aux multiples ramifications, impliquant plusieurs inculpés et nécessitant une préparation méticuleuse des débats et de nombreux actes d’instruction; la jurisprudence a ainsi admis, dans ce genre d’affaires, qu’un délai de six à huit mois et demi entre la mise en accusation et l’ouverture des débats était encore conforme au principe de célérité ou un délai de quatre mois et demi dans une affaire relativement complexe.</w:t>
      </w:r>
    </w:p>
    <w:p>
      <w:r>
        <w:rPr>
          <w:b/>
        </w:rPr>
        <w:t>E. 4.3</w:t>
      </w:r>
    </w:p>
    <w:p>
      <w:r>
        <w:t>En vertu de l'art. 19 ch. 2 let a LStup dans sa teneur en vigueur au moment des faits, le cas est grave lorsque l'auteur sait ou ne peut ignorer que l’infraction porte sur une quantité de stupéfiants qui peut mettre en danger la santé de nombreuses personnes. Cette formulation contient une condition objective et une condition subjective. Il faut tout d'abord que l'infraction puisse objectivement mettre en danger, directement ou indirectement, la santé de nombreuses personnes. Selon la jurisprudence, il y a quantité de stupéfiants qui peuvent mettre en danger la santé de nombreuses personnes en cas de mélange à base d'héroïne, dès que celui-ci contient au moins 12 grammes de drogue pure (TF 6B_908/2008 du 5 février 2009 c. 4.1; ATF 119 IV 180 c. 2d). Il faut encore, du point de vue subjectif, que l'auteur sache ou accepte que l'infraction peut directement ou indirectement mettre en danger la santé de nombreuses personnes. L'intention de l'auteur doit porter sur la quantité de stupéfiants lorsqu'elle fonde le cas aggravé, le dol éventuel étant toutefois suffisant (Corboz, Les infractions en droit suisse, Vol. II, Berne 2010, p. 920). En l'espèce, il est établi (cf. 4.2) que l'activité délictueuse de A.O.________ a porté sur 207 grammes d'héroïne brute au minimum, ce qui représente une quantité de 70 grammes d'héroïne pure, compte tenu d'un taux de pureté moyen de 34%. Ce pourcentage peut en effet être appliqué à l'ensemble des quantités de drogue pouvant être imputées de façon certaine au prévenu, puisque les 197 grammes retrouvés dans son véhicule le 9 décembre 2009 avaient ce taux de pureté moyen. Dans la mesure où la quantité d'héroïne pure transportée a dépassé largement le seuil du cas grave et qu'il est établi que le prévenu savait, à tout le moins par dol éventuel, les quantités qu'il transportait, il convient de retenir, comme l'ont fait les premiers juges, le cas grave au sens de l'art. 19 ch. 2 let. a LStup. Ce grief, mal fondé, doit être rejeté.</w:t>
      </w:r>
    </w:p>
    <w:p>
      <w:r>
        <w:rPr>
          <w:b/>
        </w:rPr>
        <w:t>E. 5</w:t>
      </w:r>
    </w:p>
    <w:p>
      <w:r>
        <w:t>Les deux appelants contestent la quotité de la peine. A.O.________ invoque une violation de l’art. 47 CP. Il soutient que la peine qui lui a été infligée doit être réduite afin que la peine prononcée soit d'une année au plus, invoquant différents moyens à l'appui. Quant au Ministère public, il conclut au prononcé d'une peine privative de liberté de trois ans.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rPr>
          <w:b/>
        </w:rPr>
        <w:t>E. 5.2.1</w:t>
      </w:r>
    </w:p>
    <w:p>
      <w:r>
        <w:t>Dans un premier moyen, A.O.________ reproche aux premiers juges d’avoir arbitrairement retenu qu’il y avait dessein d’enrichissement, alors qu’ils ont également admis que ses motivations demeuraient une énigme. Il soutient, de plus, que rien dans le dossier ne permet de retenir qu’il aurait agi par appât du gain et que les sommes d’argent retrouvées peuvent s’expliquer par le fait qu’il avait touché, quelques mois plus tôt, un montant de 12'800 fr. de son assurance casco-véhicules automobiles F.________, ce qui résulte d’une pièce qu’il a produite (cf. P. 48/1). Il fait valoir qu'il n'a agi que pour rendre service à son cousin, sans être rémunéré, et que cet élément doit dès lors être retenu à sa décharge. Lors de l'audience d'appel, le conseil de l'appelant A.O.________ a produit une lettre d'F.________ du 6 décembre 2011, dans laquelle cette assurance atteste qu'elle est actuellement à la recherche, dans ses archives, de la preuve du versement d'un montant de 12'800 fr. versé au prévenu aux alentours du 13 juillet 2009 concernant le sinistre de son véhicule (P. 99/1).</w:t>
      </w:r>
    </w:p>
    <w:p>
      <w:r>
        <w:rPr>
          <w:b/>
        </w:rPr>
        <w:t>E. 5.2.2</w:t>
      </w:r>
    </w:p>
    <w:p>
      <w:r>
        <w:t>Dans la motivation consacrée à la fixation de la peine, plus particulièrement aux motivations du prévenu, les premiers juges ont relevé qu'elles demeuraient une énigme puisqu’il tentait de faire croire qu’il avait agi à bien plaire et sans rémunération, uniquement dans le but de rendre service à B.O.________. Le tribunal de première instance a retenu à ce propos qu’il avait en réalité agi afin d’améliorer son ordinaire et que le fait que le prévenu et son épouse n’avaient guère de ressources financières à l’époque des faits et que des sommes d’argent importantes avaient été retrouvées tant dans le véhicule qu’à leur domicile le prouvait (jgt, c. 4, p. 20).</w:t>
      </w:r>
    </w:p>
    <w:p>
      <w:r>
        <w:rPr>
          <w:b/>
        </w:rPr>
        <w:t>E. 5.2.3</w:t>
      </w:r>
    </w:p>
    <w:p>
      <w:r>
        <w:t>Il est exact que les premiers juges ont retenu, comme l’ordonnance de renvoi, que, pour les faits du 4 décembre 2009, soit la livraison d’héroïne à deux toxicomanes, l’appelant avait agi "sans faire de bénéfices" (jgt, c. 2.2, p. 17). Quant aux autres faits retenus contre l’appelant, il n’est pas non plus question de rémunération. En définitive, les premiers juges retiennent le dessein d’enrichissement en raison de l’absence de ressources financières du prévenu à l’époque des faits et des sommes d’argent importantes retrouvées dans le véhicule et à son domicile. S’agissant de la situation personnelle du prévenu, il perçoit mensuellement une demi-rente Al de 616 fr. pour lui et une demi-rente complémentaire de 247 fr. pour chacun de ses deux enfants ainsi que des prestations complémentaires par 2'221 fr. par mois. Il travaille en outre les week-ends comme aide de cuisine dans un restaurant de Chamblon et la semaine, à temps partiel, comme serveur au restaurant de la HEIG à Yverdon, pour lequel il touche un salaire mensuel net d'environ 700 francs. Quant à son épouse, elle travaille également en tant que serveuse dans le même restaurant que son mari et touche un salaire mensuel net de l'ordre de 700 fr. par mois. En outre, elle est en attente d'une décision de l’assurance-invalidité ensuite d'une demande déposée. Pour le reste, la situation financière du prévenu est obérée; il a des dettes. Dans ces circonstances, c'est à juste titre que les premiers juges ont retenu qu’il n’avait guère de ressources financières à l’époque des faits. Concernant les sommes importantes retrouvées dans le véhicule du prévenu et à son domicile, le jugement est effectivement muet en ce qui concerne la pièce produite par le défenseur de l’accusé le 14 janvier 2010 — (pièce 48/1), soit le courrier de F.________, assureur casco de A.O.________ , attestant avoir versé à ce dernier une somme de 12'800 fr. le 13 juillet 2009 en règlement d’un sinistre. Les premiers juges n’ont pas discuté de cet élément et de la question de savoir si cette somme versée en juillet 2009 pouvait expliquer les sommes de 6'754 fr. 10 et de 4'240 euros retrouvées dans leur véhicule et chez eux. Il est toutefois possible de retenir le dessein d’enrichissement sur la base des sommes retrouvées sur A.O.________, sur sa femme et chez eux. Le versement d’indemnisation par F.________ remonte à quatre mois avant l’arrestation des intéressés. On voit mal pourquoi l’appelant et son épouse auraient conservé sur eux autant d’argent quatre mois plus tard. A cela s’ajoute la composition des sommes saisies. En effet, il a été retrouvé 4'000 fr. dans le sac à main de C.O.________, soit un billet de 1'000 fr. et le reste en petites coupures (12 x 200 fr., 3 x 100 fr., 3 x 50 fr., 7 x 20 fr. et 1 x 10 fr.) ainsi que 1'970 euros en plusieurs coupures (7 x 50 euros, 57 x 20 euros et 48 x 10 euros) et 2'754 fr. 10 sur le prévenu lors de leur interpellation le 9 décembre 2009 (P. 18, p. 6 et P. 26). En outre, il a été retrouvé à leur domicile la somme de 2'270 euros en 44 coupures de 50 euros et 7 coupures de 10 euros (ibidem). Il résulte de ce qui précède que les sommes sont importantes, dans deux devises différentes, en petites coupures et qu’on en trouve à plusieurs endroits. En outre, les modalités du versement n'ont pas pu être établies, la pièce versée par le conseil de l'appelant lors de l'audience d'appel n'apportant aucun élément à ce sujet. C'est donc à juste titre que les premiers juges ont considéré, au vu de la situation modeste de l’appelant, que les sommes susmentionnées étaient le produit de son activité délictueuse. Partant, le dessein d'enrichissement doit être confirmé et considéré comme un élément à charge. Le grief de l'appelant A.O.________, mal fondé, doit donc être rejeté.</w:t>
      </w:r>
    </w:p>
    <w:p>
      <w:r>
        <w:rPr>
          <w:b/>
        </w:rPr>
        <w:t>E. 5.4.1</w:t>
      </w:r>
    </w:p>
    <w:p>
      <w:r>
        <w:t>L’appelant A.O.________ invoque ensuite une violation du principe de célérité. Il avait déjà soulevé ce moyen en première instance, moyen qui a toutefois été rejeté par les premiers juges. Il allègue qu’en l’espèce, la cause ne revêt pas de complexité particulière et que, sur la base de la jurisprudence qu’il cite dans sa déclaration d’appel (TF 1B_115/2008 du 2 juin 2008 c. 4.1), le délai de neuf mois entre l’ordonnance de renvoi du 16 décembre 2010 et les débats du 14 septembre 2011 viole le principe de célérité. Il reproche aux premiers juges d’avoir retenu à tort que l’audience "a été tenue à la première date utile compte tenu des disponibilités des intervenants [...]" (jgt p. 21). Il allègue avoir écrit en avril 2011 pour demander que l’audience soit avancée et s’être vu répondre que cela était impossible au vu des agendas des divers intervenants. Un second courrier de sa part est resté sans réponse. Il en déduit que ce n’est qu’en raison de l’agenda du Tribunal que les débats n’ont pas été fixés plus tôt. Il considère que cette violation justifie en l’espèce une réduction de peine de l’ordre de 40 %.</w:t>
      </w:r>
    </w:p>
    <w:p>
      <w:r>
        <w:rPr>
          <w:b/>
        </w:rPr>
        <w:t>E. 5.4.2</w:t>
      </w:r>
    </w:p>
    <w:p>
      <w:r>
        <w:t>Les premiers juges ont effectivement invoqué la disponibilité des intervenants. Ils ont cependant aussi fait valoir les "autres exigences posées par la jurisprudence, à savoir notamment que doivent être jugés en priorité les détenus, ce qui n’est pas le cas de A.O.________ " (jgt, p. 21).</w:t>
      </w:r>
    </w:p>
    <w:p>
      <w:r>
        <w:rPr>
          <w:b/>
        </w:rPr>
        <w:t>E. 5.4.3</w:t>
      </w:r>
    </w:p>
    <w:p>
      <w:r>
        <w:t>Selon la jurisprudence récente du Tribunal fédéral (TF 1B_130/2011 du 12 avril 2011 c.</w:t>
      </w:r>
    </w:p>
    <w:p>
      <w:r>
        <w:rPr>
          <w:b/>
        </w:rPr>
        <w:t>E. 5.4.4</w:t>
      </w:r>
    </w:p>
    <w:p>
      <w:r>
        <w:t>Il résulte du dossier que l’ordonnance de renvoi a été rendue le 16 décembre 2010. Après le transfert du dossier, à l’époque du changement entre l’ancienne organisation pénale et la nouvelle, soit entre le Juge d'instruction cantonal et le Ministère public de l'arrondissement du Nord vaudois, le dossier a été transmis au Tribunal d'arrondissement de La Broye et du Nord vaudois le 20 janvier 2011. L’opération consistant à fixer l’audience est intervenue le 1 er avril 2011 et l’audience a été fixée pour le 14 septembre 2011. Hormis la dernière étape, l'intervalle entre les différentes opérations menées dans cette procédure est toujours resté de quelques semaines au maximum. Quant au délai entre la fixation de l’audience et sa tenue, de 5 mois et demi, il est acceptable. Il faut en outre tenir compte du laps de temps allant du renvoi en jugement jusqu’à l’épuisement des voies de droit cantonales pour constater que moins d’une année s’est écoulée entre l’ordonnance de renvoi et l’audience d’appel du 8 décembre 2011. Il n'y a dès lors en l'espèce pas de violation du principe de célérité et le moyen invoqué par l'appelant A.O.________ doit dès lors être rejeté.</w:t>
      </w:r>
    </w:p>
    <w:p>
      <w:r>
        <w:rPr>
          <w:b/>
        </w:rPr>
        <w:t>E. 5.5.1</w:t>
      </w:r>
    </w:p>
    <w:p>
      <w:r>
        <w:t>L'appelant A.O.________ soutient encore qu'indépendamment des deux moyens soulevés précédemment, la peine privative de liberté de deux ans prononcée par le Tribunal de première instance est arbitrairement sévère compte tenu en particulier du fait que, le 9 décembre 2009, il s'est contenté d'agir comme conducteur de B.O.________ et qu'il ignorait tout des quantités effectivement transportées par ce dernier. Il allègue que la peine prononcée à son encontre doit être d'une année au plus et qu'une peine pécuniaire serait adéquate en lieu et place d'une peine privative de liberté.</w:t>
      </w:r>
    </w:p>
    <w:p>
      <w:r>
        <w:rPr>
          <w:b/>
        </w:rPr>
        <w:t>E. 5.5.2</w:t>
      </w:r>
    </w:p>
    <w:p>
      <w:r>
        <w:t>Quant au Ministère public, il conclut au prononcé d'une peine privative de liberté de trois ans. Il se fonde sur la quantité de 70 grammes d'héroïne pure retenue pour constater que le cas grave est très largement réalisé. A cela s'ajoute notamment que l'accusé a aidé à conditionner de l'héroïne dans des quantités que l'instruction n'a pas établies, mais qui étaient, selon le Ministère public, assurément importantes, vu que les deux autres comparses ont expressément demandé au prévenu de leur prêter main forte.</w:t>
      </w:r>
    </w:p>
    <w:p>
      <w:r>
        <w:rPr>
          <w:b/>
        </w:rPr>
        <w:t>E. 5.5.3</w:t>
      </w:r>
    </w:p>
    <w:p>
      <w:r>
        <w:t>Les premiers juges ont considéré que la culpabilité de A.O.________ ne devait pas être minimisée. Ils ont indiqué qu'il avait favorisé le trafic de plus grande envergure de son cousin et qu'il n'avait ainsi pas hésité à contribuer à la mise en danger de nombreuses personnes. Ils ont précisé que seule l'interpellation du prévenu avait permis de mettre fin à son activité délictueuse. Le tribunal de première instance a également relevé que les antécédents du prévenu n'étaient pas bons et qu'il n'avait fait aucun cas de ses précédentes condamnations, allant jusqu'à se livrer à des actes plus graves. Il a considéré qu'il n'y avait aucun élément à décharge et que les vagues regrets présentés aux débats sonnaient creux puisqu'il avait nié l'évidence jusqu'au bout. Les premiers juges ont encore indiqué que la peine prononcée à l'égard du prévenu tenait compte du fait que son rôle s'était limité à celui d'un chauffeur-livreur et qu'il n'avait pas vendu en rue pour son propre compte et qu'il ne pouvait pas être considéré comme un chef à la tête d'un important réseau.</w:t>
      </w:r>
    </w:p>
    <w:p>
      <w:r>
        <w:rPr>
          <w:b/>
        </w:rPr>
        <w:t>E. 5.5.4</w:t>
      </w:r>
    </w:p>
    <w:p>
      <w:r>
        <w:t>En l'espèce, il convient de retenir que la culpabilité de A.O.________ est relativement lourde. En effet, il résulte des faits que le prévenu est le coauteur d'un trafic de stupéfiants portant sur une quantité de 70 grammes d'héroïne pure fondant le cas grave conformément à l'art. 19 ch. 2 let. a LStup et qui prévoit une peine privative de liberté de un an au moins. Par ailleurs, le mobile de l'auteur est futile et crapuleux, ce dernier ayant un dessein d'enrichissement ainsi qu’il a été confirmé dans le présent arrêt au considérant 5.2. Cet élément doit être considéré comme un critère à charge ainsi que l'ont retenu les premiers juges. Le comportement de A.O.________ lors de la procédure doit également être pris en considération. Ce dernier n'a pas démontré de prise de conscience de la gravité de ses actes. En effet, il a donné des explications qui n’étaient pas plausibles et s'est rétracté lors des débats de première instance alors qu'il avait admis une partie des faits en cours d'enquête. Il faut encore prendre en compte les antécédents du prévenu, ce dernier ayant déjà été condamné à quatre reprises. La Cour de céans constate qu'il n'y a pas d'éléments à décharge ainsi que l'ont indiqué les premiers juges. Toutefois, la peine doit tenir compte du fait que le rôle du prévenu s'est limité à celui d'un chauffeur-livreur et qu'il n'a pas vendu de la drogue pour son propre compte. Le tribunal de première instance a correctement pris en considération cet élément dans la quotité de la peine. Au regard des éléments précités, les premiers juges ne se sont pas fondés sur des critères étrangers à l'art. 47 CP et ne sont pas sortis du cadre légal en fixant une peine privative de liberté de deux ans. Au vu des circonstances, la quotité de la peine infligée est adéquate au regard de l'infraction commise, de la culpabilité de l'appelant et de sa situation personnelle. Elle n'est ni trop clémente, ni trop sévère et ne relève ni d'un abus, ni d'un excès du pouvoir d'appréciation dont jouit l'autorité de première instance, laquelle n'a ignoré aucun des critères déterminants consacrés à l'art. 47 CP. Elle sera donc confirmée. La quotité de la peine exclut dès lors qu'une peine pécuniaire puisse être prononcée. Au vu de ce qui précède, les griefs soulevés par les deux appelants, mal fondés, doivent être rejetés.</w:t>
      </w:r>
    </w:p>
    <w:p>
      <w:r>
        <w:rPr>
          <w:b/>
        </w:rPr>
        <w:t>E. 6</w:t>
      </w:r>
    </w:p>
    <w:p>
      <w:r>
        <w:t>Invoquant une violation de l'art. 43 CP, l'appelant A.O.________ reproche aux premiers juges de ne pas lui avoir octroyé un sursis complet en lieu et place du sursis partiel qui a été prononcé, relevant que le sursis complet est la règle dont le juge ne peut s'écarter qu'en présence d'un pronostic défavorable. Il soutient que tel n'est pas le cas en l'espèce, les premiers juges n'ayant retenu qu'un pronostic "mitigé". De plus, selon lui, il faut tenir compte de l'effet dissuasif des 42 jours de détention subie avant jugement et de la longue durée du délai d'épreuve. Quant au Ministère public, il ne conteste pas l'octroi d'un sursis partiel, mais estime que les premiers juges ne pouvaient décemment pas fixer à 6 mois seulement la part à exécuter. Il admet que le prévenu n'a pas eu un statut de chef dans le trafic, mais relève qu'il a agi à tous les stades de ce trafic. Il fait valoir qu'il convient en outre de donner un poids supplémentaire aux antécédents et aux dénégations et rétractations, ainsi qu'à l'absence de prise de conscience et aux explications indécentes du prévenu. Dans ses conclusions, il réclame une peine privative de liberté de trois ans (la quotité de la peine a toutefois été confirmée au considérant 5.5.4) avec un sursis partiel portant sur deux ans, soit une proportion deux tiers – un tiers.</w:t>
      </w:r>
    </w:p>
    <w:p>
      <w:r>
        <w:rPr>
          <w:b/>
        </w:rPr>
        <w:t>E. 6.1.1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al. 1 CP, le juge peut suspendre partiellement l'exécution d'une peine pécuniaire, d'un travail d'intérêt général ou d'une peine privative de liberté d'un an au moins et de trois ans au plus afin de tenir compte de façon appropriée de la faute de l'auteur.</w:t>
      </w:r>
    </w:p>
    <w:p>
      <w:r>
        <w:rPr>
          <w:b/>
        </w:rPr>
        <w:t>E. 6.1.2</w:t>
      </w:r>
    </w:p>
    <w:p>
      <w:r>
        <w:t>Lorsque la peine privative de liberté est d'une durée telle qu'elle permette le choix entre le sursis complet (art. 42 CP) et le sursis partiel (art. 43 CP), soit entre un et deux ans au plus, l'octroi du sursis au sens de l'art. 42 CP est la règle et le sursis partiel l'exception (TF 6B_769/2009 du 19 avril 2010 c. 1.2). Cette dernière ne doit être admise que si, sous l'angle de la prévention spéciale, l'octroi du sursis pour une partie de la peine ne peut se concevoir que moyennant exécution de l'autre partie. La situation est similaire à celle de l'examen des perspectives d'amendement en cas de révocation du sursis (ATF 135 IV 152 c. 3.1.1 non publié; ATF 116 IV 97). Le juge accordera le sursis partiel au lieu du sursis total lorsqu'il existe - notamment en raison de condamnations antérieures - de sérieux doutes sur les perspectives d'amendement de l'auteur, qui ne justifient cependant pas encore, à l'issue de l'appréciation de l'ensemble des circonstances, un pronostic concrètement défavorable.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(ATF 135 IV 152 c. 3.1.1 non publié; ATF 134 IV 1 c. 5.5.2). Au vu de ce qui précède, l'exception du sursis partiel ne se pose qu'en cas de pronostic très incertain. En effet, elle ne peut être admise que si l'octroi du sursis à l'exécution d'au moins une partie de la peine soit exécutée, à savoir lorsqu'il existe des doutes très importants au sujet du comportement futur de l'auteur, notamment au vu de ses antécédents (ATF 135 IV 152 c. 3.1.3 non publié).</w:t>
      </w:r>
    </w:p>
    <w:p>
      <w:r>
        <w:rPr>
          <w:b/>
        </w:rPr>
        <w:t>E. 6.1.3</w:t>
      </w:r>
    </w:p>
    <w:p>
      <w:r>
        <w:t>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Il prime en cas d'incertitude (TF 6B_482/2011 du 21 novembre 2011 c. 2; ATF 134 IV 1 c. 4.2.2).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135 IV 180 c. 2.1; ATF 135 IV 152 c. 3.1.2 non publié). De jurisprudence constante, les conditions subjectives auxquelles l'art. 42 CP soumet l'octroi du sursis intégral s'appliquent également à l'octroi du sursis partiel au sens de l'art. 43 CP (TF 6B_244/2010 du 4 juin 2010 c. 1; ATF 134 IV 1 c. 5.3.1). Dans l'émission du pronostic, le tribunal de première instance dispose d'un large pouvoir d'appréciation (TF 6B_482/2011 du 21 novembre 2011 c. 2) .</w:t>
      </w:r>
    </w:p>
    <w:p>
      <w:r>
        <w:rPr>
          <w:b/>
        </w:rPr>
        <w:t>E. 6.1.4</w:t>
      </w:r>
    </w:p>
    <w:p>
      <w:r>
        <w:t>En vertu de l'art. 43 CP,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(TF 6B_488/2010 du 4 octobre 2010 c. 3.1; ATF 134 IV 1 c. 5.6; Dupuis et alii, Petit commentaire, Code pénal, Bâle 2012, n. 11 ad art. 43 CP et les références citées).</w:t>
      </w:r>
    </w:p>
    <w:p>
      <w:r>
        <w:rPr>
          <w:b/>
        </w:rPr>
        <w:t>E. 6.2.1</w:t>
      </w:r>
    </w:p>
    <w:p>
      <w:r>
        <w:t>En l'espèce, il convient d'abord d'examiner le pronostic quant au comportement futur de l'appelant A.O.________ afin de déterminer si les conditions du sursis partiel sont réunies. Le Tribunal de première instance a indiqué à cet égard que le prévenu n'avait tiré aucun enseignement de ses ennuis passés avec la justice pénale et qu'il n'avait pas pris conscience de la gravité de ses actes si bien que le pronostic était mitigé. Il faut d'abord relever que les actes commis par l'appelant sont graves. De plus, ce dernier n'a pas démontré de prise de conscience de la gravité de ses actes, donnant des explications dénuées de crédibilité et revenant sur ses précédentes déclarations lors des débats de première instance. Finalement, le prévenu a déjà fait l'objet de quatre condamnations pour infractions à la LCR à des peines pécuniaires et pour recel et infraction à la LArm à une peine privative de liberté de 10 jours avec sursis. Force est de constater que ces précédentes condamnations ne l'ont pas dissuadé de commettre à nouveau des infractions qui sont, par ailleurs, plus graves que celles perpétrées par le passé. A l'issue de l'appréciation de l'ensemble des circonstances, il existe de sérieux doutes sur les perspectives d'amendement de l'appelant, qui rendent le pronostic très incertain. Dans ce cas, il est nécessaire que l'intéressé exécute une partie de la peine afin de lever cette incertitude. Le sursis partiel prononcé à l'encontre de l'appelant par les premiers juges est dès lors justifié. Les arguments de l'appelant A.O.________ sont donc mal fondés et doivent être rejetés.</w:t>
      </w:r>
    </w:p>
    <w:p>
      <w:r>
        <w:rPr>
          <w:b/>
        </w:rPr>
        <w:t>E. 6.2.2</w:t>
      </w:r>
    </w:p>
    <w:p>
      <w:r>
        <w:t>S'agissant ensuite de la partie de la peine à exécuter, les premiers juges ont décidé de la fixer à six mois et d'octroyer le sursis partiel sur 18 mois des 24 mois prononcés, représentant donc une proportion de un quart - trois quart. Ils ont considéré que la fraction de peine que le prévenu va devoir purger, couplée avec la menace d'en purger le solde en cas de nouvelle infraction devrait le détourner durablement de la délinquance. Il a enfin été tenu compte d'un long délai d'épreuve, fixé à quatre ans. La quotité de la peine de deux ans ayant été confirmée au considérant 5.5.4, il convient uniquement de déterminer si la proportion de deux tiers – un tiers demandée par le Ministère public serait plus adéquate que la proportion décidée par les premiers juges, le reste de ses conclusions devant être rejetées puisqu'il réclamait une peine privative de liberté de trois ans, avec un sursis partiel portant sur deux ans. En l'espèce, il convient de confirmer le sursis partiel portant sur dix-huit mois ainsi que la durée de la partie ferme fixée à six mois. En effet, les six mois que le prévenu doit purger tiennent suffisamment compte de sa faute; ce dernier a certes commis une infraction grave à la LStup, mais a toutefois agi en tant que chauffeur-livreur, n'ayant pas vendu de drogue pour son propre compte. L'effet d'admonestation de l'exécution d'une partie de la peine ainsi que la menace d'en purger le solde de dix-huit mois en cas de nouvelle infraction et la durée du délai d'épreuve fixée à quatre ans devrait suffire à détourner A.O.________ de la commission d'infractions. Le grief du Ministère public, mal fondé, doit être rejeté.</w:t>
      </w:r>
    </w:p>
    <w:p>
      <w:r>
        <w:rPr>
          <w:b/>
        </w:rPr>
        <w:t>E. 7</w:t>
      </w:r>
    </w:p>
    <w:p>
      <w:r>
        <w:t>A.O.________ conteste finalement les conséquences accessoires du jugement concernant le sort de certaines valeurs patrimoniales séquestrées. Il requiert que les sommes de 2'754 fr. 10 et 2'270 euros lui soient restituées. Il soutient que ces deux sommes proviennent de ses économies, de ses revenus, de l'indemnité perçue par l'assurance casco F.________ et du salaire d'apprenti de son fils.</w:t>
      </w:r>
    </w:p>
    <w:p>
      <w:r>
        <w:rPr>
          <w:b/>
        </w:rPr>
        <w:t>E. 7.1</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En vertu de l’art. 267 al. 3 CPP, il est statué sur la restitution à l’ayant droit des objets et des valeurs patrimoniales séquestrés qui n’ont pas été libérés auparavant, leur utilisation pour couvrir les frais ou leur confiscation dans la décision finale. La confiscation de valeurs patrimoniales a un caractère répressif. Elle tend à empêcher l’auteur de profiter du produit de l’infraction (Dupuis et alii, op. cit., n. 1 ad art. 70 CP). Elle suppose dans tous les cas que les éléments constitutifs objectifs et subjectifs de l’infraction soient réalisés, même si la culpabilité de son auteur n’est pas examinée (Dupuis et alii, op. cit., n. 9 ad art. 70 CP). Seules les valeurs patrimoniales constituant la rémunération ou le résultat direct de l’infraction peuvent être confisquées; il est donc nécessaire qu’il y ait un lien de causalité entre l’infraction et le résultat. L’obtention de valeurs patrimoniales doit apparaître comme la conséquence directe et immédiate de l’infraction (ATF 136 IV 4 c. 6.6). Il en va ainsi lorsque l’obtention de valeurs patrimoniales est un élément objectif ou subjectif de l’infraction ou lorsqu’elle constitue un avantage direct découlant de la commission de l’infraction (Dupuis et alii, op. cit., n. 10 ad art. 70 CP).</w:t>
      </w:r>
    </w:p>
    <w:p>
      <w:r>
        <w:rPr>
          <w:b/>
        </w:rPr>
        <w:t>E. 7.2</w:t>
      </w:r>
    </w:p>
    <w:p>
      <w:r>
        <w:t>En l’espèce, B.O.________ a clairement admis au cours de l’enquête, propos quelque peu nuancés lors des débats de première instance, que les espèces retrouvées dans le véhicule le 9 décembre 2009 étaient liées à son trafic de stupéfiants. En outre, le montant de 2'754 fr. 10 a été retrouvé sur le prévenu lors de son interpellation le 9 décembre 2009 (P. 18, p. 6 et P. 26) et la somme de 2'270 euros au domicile de ce dernier en 44 coupures de 50 euros et 7 coupures de 10 euros (ibidem). De surcroît, il a été démontré que le prévenu et son épouse avaient une situation modeste à l’époque des faits, puisqu’ils bénéficiaient de l’aide sociale pour compléter leurs revenus. Au vu de ce qui précède, il ne fait aucun doute que ces valeurs patrimoniales sont le résultat de l’infraction à la LStup commise par le prévenu. En effet, ces deux montants sont relativement élevés compte tenu de la situation financière du prévenu, ont été retrouvés sur celui-ci au moment de son interpellation et à son domicile et étaient dans deux devises différentes ainsi qu’en petites coupures. Ils ne pouvaient dès lors manifestement pas provenir de ses économies, de ses revenus, de l'indemnité perçue par l'assurance casco F.________ – dont le versement de l’indemnisation remonte à quatre mois avant l’arrestation du prévenu – ou du salaire d'apprenti de son fils contrairement à ce qu’il invoque. Le grief de l’appelant, mal fondé, doit être rejeté et il convient de confirmer la confiscation et la dévolution à l’Etat des sommes de 2'754 fr. 10 et 2'270 euros séquestrées sous fiche n° 1643.</w:t>
      </w:r>
    </w:p>
    <w:p>
      <w:r>
        <w:rPr>
          <w:b/>
        </w:rPr>
        <w:t>E. 8</w:t>
      </w:r>
    </w:p>
    <w:p>
      <w:r>
        <w:t>En définitive, les appels doivent être rejetés et le jugement attaqué confirmé dans son entier. Vu l'issue de la cause, les frais de la procédure d'appel doivent être mis à la charge de A.O.________ par moitié, le solde étant laissé à la charge de l’Etat (art. 428 al. 1 CPP). Outre l'émolument, qui se monte à 3’230 fr. (art. 21 al. 1 et 2 TFJP [Tarif des frais judiciaires pénaux du 28 septembre 2010, RSV 312.03.1]), ces frais comprennent l'indemnité allouée au défenseur d'office de l'appelant (cf. art. 135 al. 2 et 422 al. 2 let. a CPP, art. 2 al. 2 ch. 1 TFJP). Ce dernier a indiqué qu'il avait consacré 6 heures 50 au dossier, temps en audience non compris. Au vu de la complexité de la cause, des opérations mentionnées dans la note d'honoraires et de la procédure d'appel, il convient d'admettre que le conseil d'office de l'appelant a dû consacrer 8 heures 30 à l'exécution de son mandat et l'indemnité sera dès lors arrêtée à 1'693 fr. 20, TVA et débours inclus (cf. art. 135 al. 1 CPP).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