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195 vom 23. Februar 2012</w:t>
      </w:r>
    </w:p>
    <w:p>
      <w:r>
        <w:t>VD Tribunal cantonal, 2012-02-23, FR</w:t>
      </w:r>
    </w:p>
    <w:p>
      <w:r>
        <w:rPr>
          <w:b/>
        </w:rPr>
        <w:t xml:space="preserve">Quelle: </w:t>
      </w:r>
      <w:r>
        <w:t>https://mcp.opencaselaw.ch/entscheid/vd_findinfo_Jug___2012___195</w:t>
      </w:r>
    </w:p>
    <w:p>
      <w:r>
        <w:t>FR: VD_FINDINFO Jug / 2012 / 195 du 23 février 2012</w:t>
      </w:r>
    </w:p>
    <w:p>
      <w:r>
        <w:t>IT: VD_FINDINFO Jug / 2012 / 195 del 23 febbraio 2012</w:t>
      </w:r>
    </w:p>
    <w:p>
      <w:pPr>
        <w:pStyle w:val="Heading2"/>
      </w:pPr>
      <w:r>
        <w:t>Regeste</w:t>
      </w:r>
    </w:p>
    <w:p>
      <w:r>
        <w:t>ABUS DE CONFIANCE | 138 ch. 1 al. 2 CP</w:t>
      </w:r>
    </w:p>
    <w:p>
      <w:pPr>
        <w:pStyle w:val="Heading2"/>
      </w:pPr>
      <w:r>
        <w:t>Erwägungen</w:t>
      </w:r>
    </w:p>
    <w:p>
      <w:r>
        <w:rPr>
          <w:b/>
        </w:rPr>
        <w:t>E. 3</w:t>
      </w:r>
    </w:p>
    <w:p>
      <w:r>
        <w:t>et 5 du contrat conforme à ce qui figure ci-dessus. Il faut donc admettre que la volonté commune des parties était de céder la titularité des actions au moment du paiement du prix. S.________ a ensuite invoqué le fait que les titres étaient toujours restés en main de G.________ pour expliquer le retard dans l'exécution du contrat, assurant à nouveau le transfert imminent des fonds. Détenant les actions de P.________ manifestement sans en être le propriétaire économique, pas plus que G.________ d'ailleurs, S.________ en a disposé en 2008 lorsqu'il a repris en son nom propre la titularité de toutes les actions au porteur d'I.________. Plutôt que de restituer les 400'000 euros à P.________, il a résisté à ses prétentions jusqu'à la convention du 24 novembre 2010 conclue devant le juge instructeur de la Cour civile. Au vu de ce qui précède, les actions achetées par G.________, ont été utilisées par S.________ de manière contraire au but assigné par la convention de fiducie du 17 novembre 2004. A l'audience de première instance, S.________ a admis qu'il aurait pu s'acquitter plus rapidement du remboursement des 400'000 euros, ce qui constitue un dessein d'enrichissement temporaire. Partant, et contrairement à ce qu'ont retenu les premiers juges, les éléments objectifs de l'abus de confiance sont réalisés.</w:t>
      </w:r>
    </w:p>
    <w:p>
      <w:r>
        <w:rPr>
          <w:b/>
        </w:rPr>
        <w:t>E. 3.1</w:t>
      </w:r>
    </w:p>
    <w:p>
      <w:r>
        <w:t>Aux termes de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w:t>
      </w:r>
    </w:p>
    <w:p>
      <w:r>
        <w:rPr>
          <w:b/>
        </w:rPr>
        <w:t>E. 3.1.1</w:t>
      </w:r>
    </w:p>
    <w:p>
      <w:r>
        <w:t>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L'alinéa 2 de cette disposition ne protège par la propriété mais la créance de celui qui a fait confiance,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L'art. 138 ch. 1 al. 2 CP présente ainsi la particularité d'englober des hypothèses pour lesquelles les valeurs patrimoniales n'appartiennent pas nécessairement à autrui sur le plan civil et peuvent au contraire être propriété de l'auteur lui-même. Il est toutefois nécessaire que les valeurs patrimoniales appartiennent à autrui d'un point de vu économique. Tel est le cas lorsque l'auteur est tenu de les conserver à la disposition du lésé, de sorte que ce dernier en représente l'ayant droit à défaut d'en être le propriétaire au sens juridique du terme (ATF 133 IV 21 c. 6.2; ATF 120 IV 117 c. 2e). D'un point de vue subjectif, l'intention doit porter sur tous les éléments constitutifs de l'infraction. Il faut aussi, dans tous les cas d'abus de confiance, que l'auteur ait eu l'intention de se procurer ou de procurer à un tiers un 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et les références citées; Niggli/Riedo, Basler Kommentar, Strafrecht II, 2 ème édition, Bâle 2007, n. 105 à 126 ad art. 138 CP; TF 6S.86/2001 du 10 avril 2001 c. 2a, ad CCASS, 3 août 2000, n. 483; CCASS, 14 septembre 2009, n. 382). Le dessein d'enrichissement s'entend de tout avantage économique, lequel réside ordinairement dans la valeur du bien obtenu, ou encore dans sa valeur d'aliénation ou d'usage (CCASS, 21 avril 1999, n° 201) et peut être réalisé par dol éventuel (ATF 118 IV 32 c. 2a); tel est le cas, lorsque l'auteur envisage l'enrichissement comme possible et s'il agit néanmoins, même s'il ne le souhaite pas, parce qu'il s'en accommode pour le cas où il se produirait (TF 6S.86/2001, précité, c. 2a; ATF 121 IV 249 c. 3a). Le Tribunal fédéral admet que si l'auteur a la volonté et la possibilité de restituer ultérieurement la chose, il se procure un enrichissement illégitime momentané, ce qui suffit à justifier une condamnation (ATF 121 IV 23; ATF 118 IV 27 précité, c. 3a; CCASS, 26 mars 2001, n° 53; Corboz, Les infractions en droit suisse, Berne 2002, nn. 20ss. ad art. 138 CP, pp. 229-230). Le dessein d'enrichissement illégitime fait en revanche défaut si, au moment de l'emploi illicite de la valeur patrimoniale confiée, l'auteur en paie la contre-valeur (ATF 107 IV 166 c. 2a), s'il avait à tout moment la possibilité de le faire (ATF 105 IV 39 c. 3).</w:t>
      </w:r>
    </w:p>
    <w:p>
      <w:r>
        <w:rPr>
          <w:b/>
        </w:rPr>
        <w:t>E. 3.1.2</w:t>
      </w:r>
    </w:p>
    <w:p>
      <w:r>
        <w:t>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interpréter une clause contractuelle selon la théorie de la confiance, le juge doit rechercher comment cette clause pouvait être comprise de bonne foi en fonction de l'ensemble des circonstances (interprétation dite objective; ATF 132 III 268 c. 2.3.2; ATF 131 III 606 c. 4.1). Le principe de la confiance permet d'imputer à une partie le sens objectif de sa déclaration ou de son comportement, même si celui-ci ne correspond pas à la volonté intime de l'intéressé (ATF 130 III 417 c. 3.2; ATF 129 III 118 c. 2.5; ATF 128 III 419 c. 2.2 et les références doctrinales). Pour trancher cette question de droit, il faut cependant se fonder sur le contenu de la manifestation de volonté et sur les circonstances, lesquelles relèvent du fait (ATF 132 III 268 c. 2.3.2; ATF 131 III 586 c. 4.2.3.1; ATF 130 III 417 c. 3.2). Les circonstances déterminantes sont celles qui ont précédé ou accompagné la manifestation de volonté (ATF 131 III 377 c. 4.2 et l'arrêt cité), à l'exclusion des événements postérieurs (ATF 118 II 365 c. 1 ; ATF 112 II 337 c. 4a).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précité, c. 4.2). Il n'y a cependant pas lieu de s'écarter du sens littéral du texte adopté par les cocontractants lorsqu'il n'existe aucune raison sérieuse de penser qu'il ne correspond pas à leur volonté (ATF 129 III 118 c. 2.5; ATF 128 III 265 c. 3a).</w:t>
      </w:r>
    </w:p>
    <w:p>
      <w:r>
        <w:rPr>
          <w:b/>
        </w:rPr>
        <w:t>E. 3.2.1</w:t>
      </w:r>
    </w:p>
    <w:p>
      <w:r>
        <w:t>Tout d'abord, le témoin H.________ a confirmé lors des débats d'appel que I.________ n'a jamais émis les actions au porteur à l'origine de la présente cause. Il convient donc d'examiner l'application de l'art. 138 ch. 1 al. 2 CP, soit l'emploi sans droit de valeurs patrimoniales confiées, et non pas de l'appropriation d'une chose mobilière. Les premiers juges ont retenu que les parties avaient distingué dans leurs rapports juridiques, les droits sociaux liés aux actions au porteur, qui ont toujours été exercés par G.________, et les droits patrimoniaux. Considérant, selon une interprétation de l'art. 5 de la convention de cession du 13 décembre 2005, que les droits patrimoniaux avaient été cédés à cette date à l'intimé, les premiers juges ont retenu qu'une condition objective de punissabilité de l'art. 138 ch. 1 al. 2 CP faisait défaut, dès lors que S.________ était devenu propriétaire des valeurs patrimoniales confiées.</w:t>
      </w:r>
    </w:p>
    <w:p>
      <w:r>
        <w:rPr>
          <w:b/>
        </w:rPr>
        <w:t>E. 3.2.2</w:t>
      </w:r>
    </w:p>
    <w:p>
      <w:r>
        <w:t>Cette analyse ne saurait toutefois être confirmée au vu de la jurisprudence rappelée ci-dessus. Il est en effet indéniable que P.________ demeurait le propriétaire économique des actions au porteur tant que n'intervenait pas le paiement du montant convenu de 400'000 euros. En outre, S.________, qui s'était vu confier les actions à titre fiduciaire au nom de G.________ aux termes du contrat conclu le 17 novembre 2004, restait tenu, selon le rapport de confiance qui en découlait, d'assurer le remboursement de ce montant. C'est d'ailleurs le seul sens que l'on doit donner à la convention de cession d'actions du 13 décembre 2005, non seulement en examinant l'art. 5 dudit contrat, mais l'ensemble des clauses prévues, selon la réelle et commune intention des parties. En particulier, on ne saurait suivre les premiers juges lorsqu'ils affirment que la clause incriminée signifiait que seul le droit au dividende était réservé jusqu'au paiement du prix, la titularité des actions étant transférée dès la conclusion du contrat. Il suffit de se référer à l'art. 3 auquel l'art. 5 renvoie pour comprendre que le prix de vente exact était défini par un montant en capital de 400'000 euros, augmenté d'intérêts dès le 1 er octobre 2005, payable au plus tard le 1 er mai 2006, les droits et obligations inhérents aux actions étant transférés dès la date de ce paiement. On comprend ainsi que la cession devait intervenir au plus tard jusqu'au 1 er mars 2006, le prix de vente des actions étant calculé conformément à l'intérêt couru depuis le 1 er octobre 2005. Par la suite, S.________ n'a pas compris autrement l'exécution de la convention, puisqu'il a assuré P.________ du versement des fonds à plusieurs reprises. Le calcul des intérêts effectués dans le courriel du 15 mai 2006 atteste également d'une interprétation des art.</w:t>
      </w:r>
    </w:p>
    <w:p>
      <w:r>
        <w:rPr>
          <w:b/>
        </w:rPr>
        <w:t>E. 3.2.3</w:t>
      </w:r>
    </w:p>
    <w:p>
      <w:r>
        <w:t>S'agissant de l'élément subjectif, le tribunal de première instance a considéré qu'il n'y avait pas eu d'intention dolosive de la part de S.________, qui a pu être conforté dans l'idée que c'était bien G.________ qui était à nouveau titulaire des actions, d'autant qu'il s'était écoulé plus de deux ans entre la convention du 13 décembre 2005 et le changement de titularité des actions début 2007 à la suite d'une décision d'I.________. Selon les premiers juges, S.________ aurait été d'autant plus conforté dans cette conception erronée que sa partie adverse n'a jamais réclamé la restitution des actions dans le cadre de la procédure civile. Cette interprétation ne saurait être partagée. L'intimé a sans cesse promis le remboursement des 400'000 euros à P.________, ceci jusqu'à l'ouverture de la procédure civile, dans le cadre de laquelle il a obstinément opposé une fin de non recevoir. On ne peut reprocher à P.________ de ne pas avoir demandé la restitution des actions au porteur dans la mesure où, comme on l'a démontré ci-dessus, il pensait à raison en être toujours le propriétaire. Ce n'est, en outre, pas la restitution des actions, mais leur remboursement qui devait être effectué. Il est dès lors établi que, confronté aux demandes répétées de paiement de P.________, l'intimé était manifestement conscient de son enrichissement illégitime et, qu'en ne donnant pas suite à ces demandes, alors même qu'il admet avoir eu la capacité financière de le faire, il s'est enrichi temporairement, jusqu'à l'exécution de la transaction finalement conclue le 24 novembre 2010. Le Ministère public a d'ailleurs calculé le bénéfice de cet enrichissement temporaire, sur le différentiel du taux de change, et l'a évalué à 87'260 francs. L'élément subjectif est dès lors avéré et l'infraction d'abus de confiance réalisée, à tout le moins par dol éventuel. Compte tenu de l'ensemble de ces éléments, les conditions objectives et subjectives de l'abus de confiance au sens de l'art. 138 ch. 1 al. 2 CP sont réalisées. L'appel est admis sur ce point et le jugement entrepris réformé en ce sens que S.________ est reconnu coupable d'abus de confiance.</w:t>
      </w:r>
    </w:p>
    <w:p>
      <w:r>
        <w:rPr>
          <w:b/>
        </w:rPr>
        <w:t>E. 4</w:t>
      </w:r>
    </w:p>
    <w:p>
      <w:r>
        <w:t>Le Ministère public a requis le prononcé d'une peine privative de liberté de dix-huit mois assortie du sursis pendant trois ans.</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(Favre/Pellet/Stoudmann, Code pénal annoté, 3 ème éd. 2007, n. 2 ad art. 44 CP). Dans la mesure où la décision est fondée sur tous les éléments pertinents pour le pronostic futur, le juge jouit en la matière d'un large pouvoir d'appréciation (ATF 128 IV 193; ATF 118 IV 97, JT 1992 I 783 c. 2a; ATF 116 IV 279 c. 2a).</w:t>
      </w:r>
    </w:p>
    <w:p>
      <w:r>
        <w:rPr>
          <w:b/>
        </w:rPr>
        <w:t>E. 4.2</w:t>
      </w:r>
    </w:p>
    <w:p>
      <w:r>
        <w:t>En l'occurrence, il convient de retenir à charge de l'intimé le fait qu'il a sciemment menti à P.________ à plusieurs reprises et durant plusieurs années, et que le montant de l'enrichissement illicite temporaire est important. A décharge de S.________ il convient de prendre en considération le remboursement des 400'000 euros, finalement intervenu dans le cadre de la transaction civile passée en novembre 2010. Au vu de l’ensemble de ces éléments et compte tenu de la situation personnelle de l'intimé, une peine privative de liberté de quinze mois se justifie. Au surplus, le sursis doit être accordé dans la mesure où S.________ en remplit les conditions, le délai d'épreuve minimum de deux ans étant adéquat compte tenu du de l'absence de tout antécédent.</w:t>
      </w:r>
    </w:p>
    <w:p>
      <w:r>
        <w:rPr>
          <w:b/>
        </w:rPr>
        <w:t>E. 5</w:t>
      </w:r>
    </w:p>
    <w:p>
      <w:r>
        <w:t>Le Ministère public demande également le prononcé d'une créance compensatrice équivalent au bénéfice réalisé par S.________ sur le change francs suisses - euros.</w:t>
      </w:r>
    </w:p>
    <w:p>
      <w:r>
        <w:rPr>
          <w:b/>
        </w:rPr>
        <w:t>E. 5.1</w:t>
      </w:r>
    </w:p>
    <w:p>
      <w:r>
        <w:t>Aux termes de l'art. 71 CP, lorsque les valeurs patrimoniales à confisquer ne sont plus disponibles, le juge ordonne leur remplacement par une créance compensatrice de l'Etat d'un montant équivalent; elle ne peut être ordonnée contre un tiers que dans la mesure où les conditions de l'art. 70 al. 2 CP, ne sont pas réalisées (al. 1). Le juge peut renoncer totalement ou partiellement à la créance compensatrice s'il est à prévoir qu'elle ne serait pas recouvrable ou qu'elle entraverait sérieusement la réinsertion de la personne concernée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 3).</w:t>
      </w:r>
    </w:p>
    <w:p>
      <w:r>
        <w:rPr>
          <w:b/>
        </w:rPr>
        <w:t>E. 5.2</w:t>
      </w:r>
    </w:p>
    <w:p>
      <w:r>
        <w:t>Dans le cas d'espèce, les parties ont passé une convention en novembre 2010 qui règle de manière exhaustive les modalités du dédommagement de P.________ par S.________ (P. 85). C'est ainsi que ce dernier a remboursé à P.________ ses 400'000 euros, sans que la question du bénéfice réalisé sur le taux de change ne fasse l'objet d'une clause particulière. La pratique veut que le juge pénal ne revienne pas sur une transaction civile qui a abouti, sous peine de voir l'Etat devenir créancier dans tous les rapports civils. La créance compensatrice requise par le Parquet n'ayant plus son rôle de substitution à la confiscation, il n'y a pas lieu d'en prononcer une. Ce grief, mal fondé, doit être rejeté.</w:t>
      </w:r>
    </w:p>
    <w:p>
      <w:r>
        <w:rPr>
          <w:b/>
        </w:rPr>
        <w:t>E. 6</w:t>
      </w:r>
    </w:p>
    <w:p>
      <w:r>
        <w:t>En définitive, l'appel du Ministère public est partiellement admis en ce sens que S.________ est condamné à une peine privative de liberté de 15 mois avec sursis durant deux ans, pour abus de confiance. Les frais de la procédure d'appel son arrêtés à 2'130 fr., en application des art. 21 et 23 TFJP (Tarif des frais judiciaires pénaux, RSV 312.03.1). Vu l'issue de la cause et compte tenu du fait que S.________ a conclu au rejet de l'appel, les frais de la procédure d'appel à raison de deux tiers, par 1'420 fr., sont mis à sa charge,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