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185 vom 24. Januar 2012</w:t>
      </w:r>
    </w:p>
    <w:p>
      <w:r>
        <w:t>VD Tribunal cantonal, 2012-01-24, FR</w:t>
      </w:r>
    </w:p>
    <w:p>
      <w:r>
        <w:rPr>
          <w:b/>
        </w:rPr>
        <w:t xml:space="preserve">Quelle: </w:t>
      </w:r>
      <w:r>
        <w:t>https://mcp.opencaselaw.ch/entscheid/vd_findinfo_Jug___2012___185</w:t>
      </w:r>
    </w:p>
    <w:p>
      <w:r>
        <w:t>FR: VD_FINDINFO Jug / 2012 / 185 du 24 janvier 2012</w:t>
      </w:r>
    </w:p>
    <w:p>
      <w:r>
        <w:t>IT: VD_FINDINFO Jug / 2012 / 185 del 24 gennaio 2012</w:t>
      </w:r>
    </w:p>
    <w:p>
      <w:pPr>
        <w:pStyle w:val="Heading2"/>
      </w:pPr>
      <w:r>
        <w:t>Regeste</w:t>
      </w:r>
    </w:p>
    <w:p>
      <w:r>
        <w:t>COMPOSITION DE L'AUTORITÉ, RÉCUSATION, PARTI POLITIQUE | 56 let. f CPP (CH), 58 CPP (CH)</w:t>
      </w:r>
    </w:p>
    <w:p>
      <w:pPr>
        <w:pStyle w:val="Heading2"/>
      </w:pPr>
      <w:r>
        <w:t>Erwägungen</w:t>
      </w:r>
    </w:p>
    <w:p>
      <w:r>
        <w:rPr>
          <w:b/>
        </w:rPr>
        <w:t>E. 1.1</w:t>
      </w:r>
    </w:p>
    <w:p>
      <w:r>
        <w:t>Aux termes de l'art. 58 CPP, lorsqu'une partie entend demander la récusation d'une personne qui exerce une fonction au sein d'une autorité pénale, elle doit présenter sans délai à la direction de la procédure une demande dans ce sens, dès qu'elle a connaissance du motif de récusation, les faits sur lesquels elle fonde sa demande doivent être rendus plausibles (al. 1). La personne concernée prend position sur la demande (al. 2). En l’occurrence, formulée sans délai, la demande de récusation est recevable.</w:t>
      </w:r>
    </w:p>
    <w:p>
      <w:r>
        <w:rPr>
          <w:b/>
        </w:rPr>
        <w:t>E. 1.2</w:t>
      </w:r>
    </w:p>
    <w:p>
      <w:r>
        <w:t>En application de l'art. 59 CPP, lorsque – comme en l'espèce - un motif de récusation au sens de l'art. 56 let. f CPP est invoqué à l'encontre d'un des membres de la juridiction d'appel, le litige est tranché sans administration supplémentaire de preuves et définitivement par la juridiction d'appel (al. 1 let. c). La décision est rendue par écrit et doit être motivée (al. 2).</w:t>
      </w:r>
    </w:p>
    <w:p>
      <w:r>
        <w:rPr>
          <w:b/>
        </w:rPr>
        <w:t>E. 2</w:t>
      </w:r>
    </w:p>
    <w:p>
      <w:r>
        <w:t>Sitôt avisé de la composition de la cour d'appel pénale qui statuerait sur son appel, Me Bertrand Demierre, conseil de B.________, a requis la récusation de la Présidente X.________ au motif que le prévenu ne dispose pas de la nationalité suisse, qu’on lui impute notamment un séjour illégal en Suisse, qu'il est "victime d’une erreur judiciaire générée par une volonté répressive et sécuritaire clairement affichée en réponse aux accusations de 'chouchouter' les délinquants", que le durcissement massif du droit pénal dans ce domaine est un axe central de la politique de l’UDC et que la juge X.________ a été élue sur les listes de ce parti, ce qui implique que sa liberté d’action ne peut être entière et que son indépendance ne peut être assurée. Le requérant se prévaut de l’art. 56 let. f CPP.</w:t>
      </w:r>
    </w:p>
    <w:p>
      <w:r>
        <w:rPr>
          <w:b/>
        </w:rPr>
        <w:t>E. 2.1</w:t>
      </w:r>
    </w:p>
    <w:p>
      <w:r>
        <w:t>L’art. 56 al. 1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tous les motifs de récusation non compris dans les clauses des let. a à e de l’art. 56 CPP peuvent être invoqués par le biais de l’art. 56 al. 1 let. f CPP (Verniory in: Commentaire romand, Code de procédure pénale suisse, Bâle 2011, n. 27 ad. art. 56 CPP).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Cst. et 6 § 1 CEDH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et les arrêts cités). Même lorsqu’elles sont établies, des erreurs de procédure ou d’appréciation commises par un juge ne suffisent pas à fonder objectivement un soupçon de prévention, à moins qu’elles ne soient particulièrement lourdes ou répétées (ATF 116 Ia 135 et les références citées).</w:t>
      </w:r>
    </w:p>
    <w:p>
      <w:r>
        <w:rPr>
          <w:b/>
        </w:rPr>
        <w:t>E. 2.2</w:t>
      </w:r>
    </w:p>
    <w:p>
      <w:r>
        <w:t>En l’espèce, le refus de la Présidente X.________ d’ordonner une expertise ne constitue, au vu de ce qui précède, pas un motif de récusation et le requérant ne le soutient d’ailleurs pas expressément (requête [pièce 192], p. 1). En outre, il ressort de son mémoire motivé (pièce 195/2, p. 2) que l'intéressé a, contrairement à ce qu'il prétend dans sa requête, bel et bien reçu le rapport médical du Pénitencier de Bellechasse, dont la production a été ordonnée par la Présidente X.________ (pièce 184).</w:t>
      </w:r>
    </w:p>
    <w:p>
      <w:r>
        <w:rPr>
          <w:b/>
        </w:rPr>
        <w:t>E. 2.3</w:t>
      </w:r>
    </w:p>
    <w:p>
      <w:r>
        <w:t>Le fait que, selon une pratique en vigueur depuis longtemps tant au Tribunal fédéral qu’au Tribunal pénal fédéral et dans la plupart des cantons, les juges soient élus, par le parlement ou par le peuple, sur la base de propositions faites par les partis politiques, ne crée pas un motif de prévention. Ce système ne vise qu’à garantir une répartition équitable des sensibilités politiques parmi les juges. Dans le canton de Vaud, cette répartition équitable résulte d’ailleurs d’une règle constitutionnelle (art. 131 al. 3, 2 ème phrase, Cst-VD). Rien ne permet d’inférer de ce mode d’élection que les juges seraient, d’une façon générale, soumis à leur parti après leur élection. Le Tribunal fédéral a toujours admis que la simple affiliation d'un juge à un parti politique, auquel appartient également une partie à la procédure, ne suffit pas à mettre objectivement en doute l'impartialité de ce magistrat si elle ne s'accompagne pas d'autres éléments permettant d'admettre qu'elle puisse exercer une influence négative sur l'issue de la procédure; la personne élue ou nommée à une fonction judiciaire est censée capable de prendre le recul nécessaire par rapport à de tels liens ou affinités et de se prononcer de manière objective sur le litige qui divise les parties (TF 1B_146/2010 et les références citées). La répartition politique au sein d’un tribunal collégial ne fonde normalement pas la récusation non plus (Verniory, op. cit., n. 36 ad art. 56 CPP). Les critiques formulées par l’UDC à l’encontre des juges dans l’un des documents produits par le requérant (pièce 189/2) ne sont formulées qu’afin de justifier des demandes de modifications constitutionnelles ou légales; loin de rendre plausible une prévention des juges présentés par ce parti, elles attestent au contraire de l’indépendance des juges en général. Il n’existe enfin aucun indice objectif permettant de considérer, ou même de craindre, que la juge X.________ ne soit influencée dans ses décisions par les prises de position politiques du parti qui l’a présentée lors de son élection. L'argumentation du requérant, qui ne fait valoir aucun élément concret qui permettrait de retenir que la magistrate en question soit tentée d'examiner la cause avec un préjugé défavorable à son égard, n'est donc pas objectivement de nature à faire douter de l'impartialité de cette dernière.</w:t>
      </w:r>
    </w:p>
    <w:p>
      <w:r>
        <w:rPr>
          <w:b/>
        </w:rPr>
        <w:t>E. 2.4</w:t>
      </w:r>
    </w:p>
    <w:p>
      <w:r>
        <w:t>Au vu des motifs exposés ci-dessus, les mesures d'instruction complémentaires requises par B.________ dans son courrier du 2 juillet 2012 (pièce 199) sont sans pertinence.</w:t>
      </w:r>
    </w:p>
    <w:p>
      <w:r>
        <w:rPr>
          <w:b/>
        </w:rPr>
        <w:t>E. 3</w:t>
      </w:r>
    </w:p>
    <w:p>
      <w:r>
        <w:t>En définitive, la requête de récusation, manifestement mal fondée, doit être rejetée. Vu l'issue de la cause, les frais doivent être mis à la charge du requérant (art. 428 al. 1, 1 ère phrase, CPP). Outre l’émolument, ces frais comprennent l’indemnité d’office allouée à son conseil (cf. les art. 135 al. 2 et 422 al. 2 let. a CPP; art. 2 al. 2 ch. 1 TFJP). L’intervention du conseil s’étant limitée à la rédaction d'une brève demande de récusation et d'une requête de mesures d'instruction, l’indemnité doit être arrêtée à 270 fr., plus TVA, cette indemnité correspondant à une heure et demie d’activité (cf. l’art. 135 al. 1 CPP).</w:t>
      </w:r>
    </w:p>
    <w:p>
      <w:r>
        <w:rPr>
          <w:b/>
        </w:rPr>
        <w:t>E. 4</w:t>
      </w:r>
    </w:p>
    <w:p>
      <w:r>
        <w:t>Le prévenu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