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180 vom 27. Februar 2012</w:t>
      </w:r>
    </w:p>
    <w:p>
      <w:r>
        <w:t>VD Tribunal cantonal, 2012-02-27, FR</w:t>
      </w:r>
    </w:p>
    <w:p>
      <w:r>
        <w:rPr>
          <w:b/>
        </w:rPr>
        <w:t xml:space="preserve">Quelle: </w:t>
      </w:r>
      <w:r>
        <w:t>https://mcp.opencaselaw.ch/entscheid/vd_findinfo_Jug___2012___180</w:t>
      </w:r>
    </w:p>
    <w:p>
      <w:r>
        <w:t>FR: VD_FINDINFO Jug / 2012 / 180 du 27 février 2012</w:t>
      </w:r>
    </w:p>
    <w:p>
      <w:r>
        <w:t>IT: VD_FINDINFO Jug / 2012 / 180 del 27 febbraio 2012</w:t>
      </w:r>
    </w:p>
    <w:p>
      <w:pPr>
        <w:pStyle w:val="Heading2"/>
      </w:pPr>
      <w:r>
        <w:t>Regeste</w:t>
      </w:r>
    </w:p>
    <w:p>
      <w:r>
        <w:t>CONTRAINTE{DROIT PÉNAL}, TENTATIVE{DROIT PÉNAL}, ACQUITTEMENT, FRAIS JUDICIAIRES, DÉPENS | 181 CP, 426 al. 2 CPP (CH), 429 al. 1 let. a CPP (CH), 433 al. 1 CPP(CH)</w:t>
      </w:r>
    </w:p>
    <w:p>
      <w:pPr>
        <w:pStyle w:val="Heading2"/>
      </w:pPr>
      <w:r>
        <w:t>Erwägungen</w:t>
      </w:r>
    </w:p>
    <w:p>
      <w:r>
        <w:rPr>
          <w:b/>
        </w:rPr>
        <w:t>E. 1</w:t>
      </w:r>
    </w:p>
    <w:p>
      <w:r>
        <w:t>D'après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dirigé contre un jugement d’un tribunal de première instance ayant clos la procédure (art. 398 al. 1 CPP), l'appel interjeté par V.________ est recevable. Il y a donc lieu d'entrer en matière sur le fond.</w:t>
      </w:r>
    </w:p>
    <w:p>
      <w:r>
        <w:rPr>
          <w:b/>
        </w:rPr>
        <w:t>E. 2</w:t>
      </w:r>
    </w:p>
    <w:p>
      <w:r>
        <w:t>V.________ conteste s'être rendu coupable de tentative de contrainte au sens de l'art. 181 CP et soutient à cet égard que l'élément constitutif de la menace d'un dommage sérieux n'est pas réalisé, de même que l'élément subjectif.</w:t>
      </w:r>
    </w:p>
    <w:p>
      <w:r>
        <w:rPr>
          <w:b/>
        </w:rPr>
        <w:t>E. 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(Dupuis et al., Petit commentaire du Code pénal, Bâle 2012, n. 12 ad art. 181 CP). Quant au caractère sérieux du dommage annoncé, il n'est pas important que la victime en soit alarmée ou effrayée, mais il suffit que le préjudice annoncé soit suffisamment sérieux pour porter atteinte d'une manière sensible à la liberté d'action d'une personne raisonnable (Dupuis et al., op. cit., n. 13 ad art. 181 CP). La question doit être tranchée en fonction des critères objectifs, et non pas d'après les réactions du destinataire visé (ATF 122 IV 322 c. 1a; ATF 120 IV 17 c. 2a/aa).</w:t>
      </w:r>
    </w:p>
    <w:p>
      <w:r>
        <w:rPr>
          <w:b/>
        </w:rPr>
        <w:t>E. 2.2</w:t>
      </w:r>
    </w:p>
    <w:p>
      <w:r>
        <w:t>Dans le cas d'espèce, le 10 juin 2008, le collaborateur des CFF P.________ a adressé à J.________ un courriel de "haute importance" (P. 10/2) comportant notamment les passages suivants: "Etant donné la rupture des relations de confiance entre V.________ et notre entreprise, je vous prie de le retirer avec effet immédiat de cette mission. Je vous prie de bien vouloir retirer à V.________ tout matériel et documents appartenant aux Q.________ et de bien vouloir nous les apporter lors de notre future réunion de ce mercredi. Au cas où des documents auraient été déposés dans l'espace réservé de son compte informatique (H:/), j'aimerais connaître la nature des documents avant le blocage du compte. Si des documents relatifs au projet sont stockés dans le répertoire privé (H:/) je prie un collaborateur de N.________Sàrl de bien vouloir prendre connaissance du mot de passe de V.________ et de faire le tri de ces documents." Le 19 juin 2008, soit postérieurement au congé immédiat signifié à l'appelant le 13 juin 2008, J.________, directeur de N.________Sàrl, lui a adressé un courriel à 8h49 (P. 4/7) pour lui déclarer en substance qu'il avait établi que, le jour de son licenciement, il avait transféré dans sa boîte privée tous les emails concernant le projet Q.________, qu'il s'agissait de documents confidentiels, qu'il avait le devoir contractuel de ne pas les conserver et qu'il était enjoint de les effacer. Ce message comportait le passage suivant: " J'exige donc que tu effaces tous les documents et messages professionnels collectés lors de ton passage dans notre société ainsi qu'un courrier postale de ta part me certifiant qu'aucunes informations confidentielles n'est encore en ta possession. Si d'ici à la fin de la semaine, ceci n'est pas fait, je me verrai dans l'obligation de transmettre les informations à notre service juridique qui s'occupera de protéger nos intérêts et celui de nos clients. Tu t'exposes bien entendu à des poursuites pénales ." C'est en réponse à cette communication que, le même jour à 11h04, l'appelant a envoyé le courriel litigieux (P. 4/7) dans lequel il se réfère aux engagements réciproques évoqués lors d'une séance commune dans l'après-midi du 13 juin 2008, soit pour J.________ le respect du contrat liant les parties et plus spécialement le décompte des heures facturables et pour V.________: "la destruction complète des documents, la garantie de renonciation à toute action contre les clients ou contre N.________Sàrl ainsi qu'à la confidentialité d'usage". Le jugement de première instance retient (p. 14) qu'en laissant entendre qu'il pourrait détruire ces documents V.________ a fait redouter à la plaignante la survenance d'un dommage que l'on peut qualifier d'important. A cet égard, le jugement, après avoir fait état des craintes de la plaignante d'une utilisation des documents confidentiels par le prévenu, soit en les utilisant à son profit, soit en les diffusant auprès de tiers (jgt., p. 14), indique que le dommage important consistait pour la plaignante à redouter que les Q.________ ne lui intentent un procès si les documents en question demeuraient en possession de l'appelant. Il convient dès lors de distinguer la menace d'un dommage sérieux induite par la diffusion ou l'utilisation de documents confidentiels et celle induite par le simple maintien de la possession de ces données par le seul fait de leur non destruction. A la lecture du message de l'appelant, on constate qu'il ne comporte pas de menace de diffusion ou d'utilisation personnelle des données confidentielles. On ne discerne pas non plus qu'une telle menace aurait été formulée implicitement. Le jour du congé, comme il l'a expliqué, l'appelant a procédé au transfert de l'entier des données de son adresse professionnelle à son adresse électronique privée, sans procéder à un tri (jgt., p. 5). Il serait excessif de conclure de ce fait que son auteur entendait divulguer ou utiliser à son profit ces données professionnelles. Partant, il n'y a donc pas eu menace de divulgation ou de révélation des informations confidentielles. Le message litigieux ne comporte pas non plus une menace expresse d'exposer l'ex-employeur à des prétentions des Q.________ dans le cadre d'un procès. La chronologie du licenciement telle que relatée par l'appelant (PV audition 1, p. 4) ne comporte pas la prise de connaissance des exigences des Q.________ à son égard quant à la destruction des données telle que formulée dans le courriel de P.________ du 10 juin 2008 (P. 10/2). Au demeurant, le dossier ne comporte pas de trace de l'évocation par les Q.________ d'une action en justice contre l'employeur en raison de la non destruction des données. Il en résulte que l'appelant n'a pas menacé la plaignante d'un dommage sérieux. Certes, il n'a pas obéi à l'injonction de détruire les données qui lui avaient été transmises dans le cadre de son activité professionnelle et il a lié ce refus à l'octroi de ses prétentions salariales, mais pour autant il n'a pas tablé sur le risque commercial ou judiciaire que cela faisait courir le cas échéant à l'entreprise vis-à-vis de son client, risque au demeurant non objectivé et qui ne pouvait pas être qualifié d'important, si bien que sa communication ne relève pas de la contrainte pénale, les éléments objectifs de la menace et du dommage sérieux n'étant pas réalisés.</w:t>
      </w:r>
    </w:p>
    <w:p>
      <w:r>
        <w:rPr>
          <w:b/>
        </w:rPr>
        <w:t>E. 2.3</w:t>
      </w:r>
    </w:p>
    <w:p>
      <w:r>
        <w:t>S'agissant de l'élément subjectif de l'infraction de contrainte, l'appelant a toujours nié avoir voulu extorquer de l'argent à N.________Sàrl en envoyant le courriel du 19 juin 2008 (PV audition 5, p. 6). Contrairement à ce que retient le jugement de première instance (p. 15), le contenu de la communication litigieuse, répondant elle-même à une menace de plainte pénale, ainsi que les circonstances de son envoi, ne permettent pas de se persuader avec une certitude suffisante de la réalisation de l'élément subjectif, même sous la forme d'un dol éventuel.</w:t>
      </w:r>
    </w:p>
    <w:p>
      <w:r>
        <w:rPr>
          <w:b/>
        </w:rPr>
        <w:t>E. 2.4</w:t>
      </w:r>
    </w:p>
    <w:p>
      <w:r>
        <w:t>Au vu de ce qui précède, les éléments constitutifs de l'infraction de contrainte ne sont pas réalisés et V.________ doit être acquitté. L'appel doit être admis sur ce point.</w:t>
      </w:r>
    </w:p>
    <w:p>
      <w:r>
        <w:rPr>
          <w:b/>
        </w:rPr>
        <w:t>E. 3</w:t>
      </w:r>
    </w:p>
    <w:p>
      <w:r>
        <w:t>L'appelant a conclu à ce que les frais de première instance soient mis à la charge de l'Etat.</w:t>
      </w:r>
    </w:p>
    <w:p>
      <w:r>
        <w:rPr>
          <w:b/>
        </w:rPr>
        <w:t>E. 3.1</w:t>
      </w:r>
    </w:p>
    <w:p>
      <w:r>
        <w:t>En dépit de son acquittement, le prévenu peut être condamné aux frais de tout ou partie de la procédure lorsqu'il a, de manière illicite et fautive, provoqué l'ouverture de la procédure ou rendu plus difficile la conduite de celle-ci (art. 426 al. 2 CPP). Il faut, pour cela, que le prévenu ait adopté un comportement fautif et reprochable, non sous l'angle pénal du terme, mais au regard du droit civil (ATF 116 Ia 162, JT 1992 IV 52). Le comportement fautif du prévenu doit être à l'origine de l'ouverture de l'enquête pénale ou alors, il doit s'agir d'une "faute procédurale", c'est-à-dire d'un comportement qui a compliqué ou prolongé la procédure, pour que les frais y relatifs puissent être mis à la charge de celui-ci. Selon le principe de la causalité des frais, le comportement du prévenu doit également être à l'origine des frais pour que ceux-ci puissent lui être imputés. Il faut que le prévenu ait clairement violé une norme de comportement écrite ou non écrite, résultant de l'ordre juridique suisse dans son ensemble, pour permettre une application analogique de l'art. 41 CO (loi fédérale du 30 mars 1911 complétant le Code civil suisse, RS 220; J. Chapuis, in: Commentaire romand, Code de procédure pénale suisse, op. cit., n. 2 ad art. 426 CPP) Selon la jurisprudence (TF 4A_611/2011 du 3 janvier 2012, rés. in: JT 2012 II 198), en cours de contrat, le devoir de fidélité du travailleur (art. 321a CO) s'oppose à ce que celui-ci détourne la clientèle de son employeur au profit d'une autre entreprise; ce même devoir de fidélité fonde l'obligation de restitution de l'art. 321b CO (A, Staehelin, in: Zürcher Kommentar, 4 ème édition, 2006, n. 19 ad art. 321a CO et n. 1 ad art. 321b CO; W. Portmann, in: Basler Kommentar, Obligationenrecht I, 5 ème edition, 2011, n. 6 ad art. 321a CO); il n'est ainsi pas insoutenable de considérer qu'à l'issue des relations contractuelles, le devoir de restitution de l'art. 339a CO s'étend aux copies de documents afin notamment de prévenir un risque de détournement de la clientèle de l'entreprise. En application de l'art. 339a CO, l'employeur a notamment le droit à ce que l'employé lui restitue tout ce qui a été reçu ou remis de tiers pour le compte de l'employeur (Tercier/Favre/Eigenmann, Les contrats spéciaux, 4 ème édition, Genève 2009, n. 3815 et 1816). Ce devoir de restitution s'étend ainsi aux documents reçus de tiers, qu'ils s'agissent d'écrits sur support papier ou de fichiers informatiques. En l'occurrence, la remise, soit la dépossession, des données devait s'effectuer par leur effacement. L'employé ne pouvait invoquer le droit de rétention réservé à l'art. 339a al. 3 CO dès lors que celui-ci ne peut s'exercer ni sur des objets dont il se serait approprié unilatéralement, ni sur des écrits (listes de clients ou de prix par exemple) dépourvus de valeur commerciale en tant que tels (Tercier, op. cit, n. 3819), le droit de rétention ne pouvant s'exercer que sur des biens réalisables (Favre, Munoz, Tobler, Le contrat de travail, Code annoté, Lausanne 2010, n. 3.1 ad art. 339a CO).</w:t>
      </w:r>
    </w:p>
    <w:p>
      <w:r>
        <w:rPr>
          <w:b/>
        </w:rPr>
        <w:t>E. 3.2</w:t>
      </w:r>
    </w:p>
    <w:p>
      <w:r>
        <w:t>En l'espèce, alors qu'il était averti que son refus d'obtempérer aurait des suites pénales, V.________ a refusé de détruire et de confirmer la destruction des données litigieuses. En violant son devoir de restitution, il a commis une faute civile. Cet acte illicite étant à l'origine de l'ouverture de la procédure pénale, sa condamnation à une part des frais en première instance, par 1'400 fr., doit être maintenue. L'appel doit être rejeté sur ce point.</w:t>
      </w:r>
    </w:p>
    <w:p>
      <w:r>
        <w:rPr>
          <w:b/>
        </w:rPr>
        <w:t>E. 4</w:t>
      </w:r>
    </w:p>
    <w:p>
      <w:r>
        <w:t>V.________ réclame à l'Etat une indemnité de 2'500 fr. pour ses frais d'avocat en première instance.</w:t>
      </w:r>
    </w:p>
    <w:p>
      <w:r>
        <w:rPr>
          <w:b/>
        </w:rPr>
        <w:t>E. 4.1</w:t>
      </w:r>
    </w:p>
    <w:p>
      <w:r>
        <w:t>Aux termes de l'art. 429 CPP, si le prévenu est acquitté totalement ou en partie ou s'il bénéficie d'une ordonnance de classement, il a droit à une indemnité notamment pour les dépenses occasionnées par l'exercice raisonnable de ses droits de procédure (al. 1 lit. a). L'autorité pénale examine d'office les prétentions du prévenu. Elle peut enjoindre à celle-ci de les chiffrer et de les justifier (al. 2).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l'art. 429 al. 1 lit.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L'indemnisation des frais d'avocat ne se limite pas aux cas de défense d'office obligatoire, ni à ceux où le bénéfice de la défense d'office volontaire eût été envisageable si le prévenu était indigent (Mizel/Rétornaz, in: Commentaire romand, Code de procédure pénale suisse, op. cit., n. 31 ad art. 429 CPP). L'art. 430 al. 1 CPP prévoit la possibilité de réduire ou de refuser cette indemnisation lorsque le prévenu a provoqué illicitement et fautivement l'ouverture de la procédure ou rendu plus difficile la conduite de celle-ci. Il s'agit donc des mêmes critères que ceux énoncés à l'art. 426 al. 2 CPP pour autoriser la condamnation aux frais du prévenu libéré. Ainsi, en règle générale, si les frais sont mis à la charge de la partie qui succombe, il ne lui est pas alloué de réparation. En revanche, lorsque les frais assumés par la Caisse de l'Etat, le prévenu a en principe droit à une indemnité (ATF 137 IV 352).</w:t>
      </w:r>
    </w:p>
    <w:p>
      <w:r>
        <w:rPr>
          <w:b/>
        </w:rPr>
        <w:t>E. 4.2</w:t>
      </w:r>
    </w:p>
    <w:p>
      <w:r>
        <w:t>Dans le cas présent, V.________ est condamné aux frais liés à l'accusation de contrainte dans la mesure où, par son refus fautif de restituer ou plus exactement de détruire les fichiers à première réquisition, il est à l'origine de la procédure pénale. Il y a donc lieu de lui refuser toute indemnité de l'art. 429 CPP. Par ailleurs, en plus de ce refus de principe, on peut encore relever que de toute manière la quotité du montant réclamé aurait été considérablement réduite. En effet, l'avocat Me Mauron n'a pas assisté son client à l'audience de première instance (P. 35) et, mise à part une lettre de deux pages (P. 19) traitant des accusations, le dossier ne contient que quelques demandes de prolongation de délais ou de consultation du dossier, ce qui ne permet pas de justifier le montant réclamé.</w:t>
      </w:r>
    </w:p>
    <w:p>
      <w:r>
        <w:rPr>
          <w:b/>
        </w:rPr>
        <w:t>E. 4.3</w:t>
      </w:r>
    </w:p>
    <w:p>
      <w:r>
        <w:t>Au vu de ce qui précède, l'appel doit être rejeté en ce qui concerne les dépens de première instance.</w:t>
      </w:r>
    </w:p>
    <w:p>
      <w:r>
        <w:rPr>
          <w:b/>
        </w:rPr>
        <w:t>E. 5</w:t>
      </w:r>
    </w:p>
    <w:p>
      <w:r>
        <w:t>V.________ n'a pas conclu formellement à la suppression du chiffre VI du dispositif, mais il a indiqué attaquer le jugement dans son ensemble, ce qui revient à viser toutes les conséquences de sa condamnation, y compris sa condamnation aux dépens. L'art. 433 al. 1 CPP prévoit que la partie plaignante peut demander au prévenu une juste indemnité pour les dépenses obligatoires occasionnées par la procédure, soit lorsqu'elle obtient gain de cause, soit lorsque le prévenu est astreint au paiement de frais conformément à l'art. 426 al. 2 CPP. Or, comme on l'a vu plus haut, la condamnation partielle aux frais du prévenu doit être confirmée parce qu'il a provoqué de manière civilement illicite et fautive l'ouverture de la procédure. Par cohérence, il convient donc de confirmer sa condamnation aux dépens de première instance. De plus, la partie plaignante a de toute façon obtenu gain de cause en ce sens qu'elle avait conclu à ce qu'il lui soit donné acte de ses réserves civiles (jgt., p. 9), ce qui lui a été alloué au chiffre IV du dispositif (jgt., p. 16). Or, l'appelant a conclu non pas au rejet de cette conclusion et donc à l'extinction définitive de l'action civile, mais à ce que la partie civile soit renvoyée à agir par la voie civile (art. 126 al. 3 CPP), ce qui revient à admettre la décision du premier juge sur l'action civile, tout en la reformulant autrement. En conséquence, l'appel doit être rejeté sur ce point.</w:t>
      </w:r>
    </w:p>
    <w:p>
      <w:r>
        <w:rPr>
          <w:b/>
        </w:rPr>
        <w:t>E. 6</w:t>
      </w:r>
    </w:p>
    <w:p>
      <w:r>
        <w:t>Au vu de ce qui précède, l'appel doit être partiellement admis. Dans la mesure où il l'est sur la question principale qu'est l'acquittement, l'entier des frais d'appel doit être supporté par l'Etat en application de l'art. 428 al. 1 CPP. Il y a également lieu d'accorder à l'appelant une pleine indemnité de l'art. 429 CPP pour ses frais d'avocat en appel. Compte tenu de la complexité de l'affaire et des opérations effectuées, il convient d'arrêter à 1'400 fr. l'indemnité allouée à l'appelant pour les dépenses occasionnées par l'exercice de ses droits en procédure d'appel. Conformément à l'art. 442 al. 4 CPP, ce montant sera compensé avec les frais de première instance mis par 1'400 fr. à la charge de l'appelant (cf. chiffre 3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