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2012 / 178 vom 9. Dezember 2011</w:t>
      </w:r>
    </w:p>
    <w:p>
      <w:r>
        <w:t>VD Tribunal cantonal, 2011-12-09, FR</w:t>
      </w:r>
    </w:p>
    <w:p>
      <w:r>
        <w:rPr>
          <w:b/>
        </w:rPr>
        <w:t xml:space="preserve">Quelle: </w:t>
      </w:r>
      <w:r>
        <w:t>https://mcp.opencaselaw.ch/entscheid/vd_findinfo_Jug___2012___178</w:t>
      </w:r>
    </w:p>
    <w:p>
      <w:r>
        <w:t>FR: VD_FINDINFO Jug / 2012 / 178 du 9 décembre 2011</w:t>
      </w:r>
    </w:p>
    <w:p>
      <w:r>
        <w:t>IT: VD_FINDINFO Jug / 2012 / 178 del 9 dicembre 2011</w:t>
      </w:r>
    </w:p>
    <w:p>
      <w:pPr>
        <w:pStyle w:val="Heading2"/>
      </w:pPr>
      <w:r>
        <w:t>Regeste</w:t>
      </w:r>
    </w:p>
    <w:p>
      <w:r>
        <w:t>EXCÈS ET ABUS DU POUVOIR D'APPRÉCIATION | 398 al. 3 let. b CPP (CH)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L'appelant succombant entièrement sur ses conclusions, les frais de la procédure d'appel selon l'art. 424 CPP doivent être mis à sa charge (art. 428 al. 1, 1 ère phrase, CPP). Ces frais comprennent l'indemnité de son défenseur d’office et celle du conseil d'office commun des intimés G.________ et W.________, pour la procédure d'appel. Au vu de la complexité de la cause et de l'ampleur des opérations effectuées par chacun des conseils, la première doit être arrêtée à 1'972 fr. 05, TVA et débours compris, et la seconde à 1'046 fr. pour les deux intimés, TVA et débours compris également. L'appelant ne sera tenu de rembourser à l’Etat le montant des indemnités en faveur de son défenseur d’office et du conseil d'office des intimés prévues ci-dessus que lorsque sa situation financière le permettra (art. 135 al. 4 let. a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