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16 vom 27. Oktober 2011</w:t>
      </w:r>
    </w:p>
    <w:p>
      <w:r>
        <w:t>VD Tribunal cantonal, 2011-10-27, FR</w:t>
      </w:r>
    </w:p>
    <w:p>
      <w:r>
        <w:rPr>
          <w:b/>
        </w:rPr>
        <w:t xml:space="preserve">Quelle: </w:t>
      </w:r>
      <w:r>
        <w:t>https://mcp.opencaselaw.ch/entscheid/vd_findinfo_Jug___2012___16</w:t>
      </w:r>
    </w:p>
    <w:p>
      <w:r>
        <w:t>FR: VD_FINDINFO Jug / 2012 / 16 du 27 octobre 2011</w:t>
      </w:r>
    </w:p>
    <w:p>
      <w:r>
        <w:t>IT: VD_FINDINFO Jug / 2012 / 16 del 27 ottobre 2011</w:t>
      </w:r>
    </w:p>
    <w:p>
      <w:pPr>
        <w:pStyle w:val="Heading2"/>
      </w:pPr>
      <w:r>
        <w:t>Regeste</w:t>
      </w:r>
    </w:p>
    <w:p>
      <w:r>
        <w:t>CONDUITE EN ÉTAT D'IVRESSE, LÉSION CORPORELLE SIMPLE | 123 CP, 47 CP, 49 CP, 91 al. 1 LCR</w:t>
      </w:r>
    </w:p>
    <w:p>
      <w:pPr>
        <w:pStyle w:val="Heading2"/>
      </w:pPr>
      <w:r>
        <w:t>Erwägungen</w:t>
      </w:r>
    </w:p>
    <w:p>
      <w:r>
        <w:rPr>
          <w:b/>
        </w:rPr>
        <w:t>E. 1.1</w:t>
      </w:r>
    </w:p>
    <w:p>
      <w:r>
        <w:t>Déposé en temps utile et contenant des conclusions suffisantes, l'appel est recevable (art. 399 al. 1 et 3 CPP; Code de procédure pénale suisse du 5 octobre 2007, RS 312.0).</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des faits et pour inopportunité.</w:t>
      </w:r>
    </w:p>
    <w:p>
      <w:r>
        <w:rPr>
          <w:b/>
        </w:rPr>
        <w:t>E. 2.1</w:t>
      </w:r>
    </w:p>
    <w:p>
      <w:r>
        <w:t>Dans son appel, B.________ conteste la version des faits retenue par les premiers juges pour le reconnaître coupable de lésions corporelles simples au sens de l'art. 123 ch. 1 CP. Il revient sur ses dénégations par convention du 18 janvier 2012 où il admet être l'auteur des coups portés à G.________ dans la nuit du 13 au 14 juillet 2008, s'excuse et accepte de dédommager la victime. Ladite convention a été produite le 19 janvier 2010 par G.________ qui, le même jour, a retiré sa plainte contre B.________ Il y a lieu de prendre acte de ce retrait de plainte qui intervient alors que le jugement entrepris n'est pas encore exécutoire (art. 33 al. 1 CP) et qui entraîne, pour l'appelant, la fin de la poursuite pénale pour l'infraction à l'art. 123 ch. 1 CP qui ne se poursuit que sur plainteB.________ doit donc être libéré de ce chef d'accusation et son appel doit être admis sur ce point.</w:t>
      </w:r>
    </w:p>
    <w:p>
      <w:r>
        <w:rPr>
          <w:b/>
        </w:rPr>
        <w:t>E. 2.2</w:t>
      </w:r>
    </w:p>
    <w:p>
      <w:r>
        <w:t>L’appelant conteste ensuite partiellement les faits retenus pour le condamner pour ivresse au volant qualifiée. En réalité, il limite sa contestation aux éléments sur lesquels s’est fondé l’Institut de chimie clinique pour procéder au calcul rétrograde du taux d’alcoolémie. Dans son calcul, cet institut a retenu 3 h 30 comme heure de la dernière consommation d’alcool, sur la base des déclarations de l’intéressé. Or, l’appelant, se fondant sur le rapport de police du 5 août 2008 (dossier E, pièce 4, p. 2), observe que ce document mentionne la consommation d’une bière de 3 dl entre 3 h 00 et 4 h 00. Il relève que cette mention provient de ses déclarations et que celles-ci sont incompatibles avec le taux effectivement mesuré au moment de la prise de sang. Dès lors, selon lui, de deux choses l’une : soit on doit admettre que ses déclarations sont exactes et on ne peut pas le condamner pour ivresse au volant pour avoir bu une bière de 3dl, soit on admet que ses déclarations sont fantaisistes et il n’est pas question de procéder à un calcul scientifique en se basant sur les indications données. Il soutient que tout porte à croire qu’il a consommé de l’alcool jusque peu avant de prendre la route à [...]; le lieu où il a été intercepté par la gendarmerie se situant à une dizaine de minutes de là, il est, à ses yeux, hautement probable qu’il ait consommé de l’alcool moins d’une heure avant la prise de sang. Il n’y aurait donc pas lieu d’ajouter une quelconque correction pour l’élimination. Partant, il ne se serait rendu coupable tout au plus que d’une ivresse simple, contravention aujourd’hui prescrite. L’argumentation de l’appelant ne saurait être retenue. L’indication horaire de la dernière consommation d’alcool ressort de ses propres déclarations, qu'il a signées lors de son interpellation (dossier E, pièce no 1, procès-verbal d'audition no 1, p. 2, réponse 4) : l'appelant a bu une bière de 3dl, vers 3 h 00 et vers 4 h 30, il regagnait son domicile lorsque la police l'a interpellé au volant de sa voiture. Cela n’exclut pas d’autres consommations alcooliques avant. Le contexte décrit par B.________ dans cette même pièce ­ il indique avoir participé à une manifestation nocturne à [...] après avoir pris un repas à [...] ­ rend une telle consommation vraisemblable. En outre, figurent au dossier les taux d’alcoolémie mesurés à l’éthylomètre à 06 h 00 et 06 h 02 (dossier E, rapport de gendarmerie établi le 4 août 2008, pièce no 4, p. 2) et le taux fourchette résultant de la prise de sang à 06 h 40 (dossier E, pièce no 4, p. 3). Retenant ces éléments, le calcul auquel s’est livré l’Institut de chimie clinique le 11 août 2008 rapporté en détail ci-dessus, au demeurant conforme aux normes légales en la matière, repose sur des bases fiables et n'est pas critiquable. Le taux d'alcoolémie pris en compte par les premiers juges, qui se fonde sur ce calcul, ainsi que sur les déclarations du prévenu, est correct et ne procède pas d’une appréciation erronée des faits, ni ne relève d’un excès ou d’un abus du pouvoir d’appréciation. L'appel est donc mal fondé sur ce point.</w:t>
      </w:r>
    </w:p>
    <w:p>
      <w:r>
        <w:rPr>
          <w:b/>
        </w:rPr>
        <w:t>E. 3.1</w:t>
      </w:r>
    </w:p>
    <w:p>
      <w:r>
        <w:t>L’appelant s'en prend à la quotité de la peine, qu'il estime disproportionnée par rapport aux infractions réprimées. Il soutient que certains éléments importants à décharge n’ont pas été retenus par les premiers juges ou en tout cas de manière insuffisante. Il se réfère notamment au redressement qu’il dit avoir opéré depuis sa détention de novembre 2009 à septembre 2010, ainsi qu’au fait qu’il s’est présenté spontanément devant les premiers juges bien qu’il habite à l’étranger. Il ajoute que la décision attaquée ne tient pas compte de l’effet dissuasif qu’aura sur lui l’exécution des peines ensuite de la révocation de deux sursis. A l'audience d'appel, B.________ s'est en outre référé à ses aveux et aux excuses écrites adressées au plaignant par convention du 18 janvier 2012. Il invoque également l'effet bénéfique de son incarcération pour des motifs de sûreté à la Prison du Bois-Mermet et ses désirs d'en finir avec son activité délictueuse.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qui conserve donc toute sa valeur (ATF 134 IV 17 c. 2.1). L’art. 47 CP confère un large pouvoir d’appréciation au juge. Par conséquent, celui-ci ne viole le droit fédé!al en fixant la peine que s’il sort du cadre légal, 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129 IV c. 6.1 et les réf. citées). Lors de la fixation de la peine, le juge doit également tenir compte des circonstances atténuantes énumérées à l'art. 48 CP et de la circonstance aggravante du concours prévue à l'art. 49 CP. Selon l'al. 1 de cette disposition, si, en raison d'un ou de plusieurs actes, l'auteur remplit les conditions de plusieurs peines de même genre, le juge le condamne à la peine de l'infraction la plus grave et l'augmente dans une juste proportion. En vertu de cette disposition, le principe d'aggravation (Asperationsprinzip) est applicable si, comme en l'espèce, l'auteur remplit les conditions de plusieurs peines de même genre. En revanche, lorsque la loi pénale ne prévoit pas le même genre de peine pour toutes les infractions, les peines doivent être prononcées de manière cumulative (arrêt 6B_460/2010 du 4 février 2011 c. 4.3.1 destiné à publication, in TF du 19 juillet 2011, 6B_867/2010; c. 1.1.2).</w:t>
      </w:r>
    </w:p>
    <w:p>
      <w:r>
        <w:rPr>
          <w:b/>
        </w:rPr>
        <w:t>E. 3.3</w:t>
      </w:r>
    </w:p>
    <w:p>
      <w:r>
        <w:t>Dans le cas présent, le prévenu s’est rendu coupable d’infractions nombreuses et de diverses natures. A raison, les premiers juges ont qualifié sa culpabilité de lourde. Les critères rappelés plus haut (à savoir, les éléments à charge ­le casier judiciaire, la récidive malgré des peines avec sursis­ et à décharge ­les excuses et les conventions passées avec les victimes­) ont bien été pris en considération, y compris le redressement opéré par l’intéressé vis-à-vis de son épouse depuis sa sortie de prison (jugement, p. 32). Les premiers juges n’ont en aucune façon abusé de leur pouvoir d’appréciation Cela étant, une peine privative de liberté d'ensemble de quatorze mois est adéquate si l'on tient compte des éléments nouveaux apparus en deuxième instance, soit d'une part de l'abandon du chef d'accusation de lésions corporelles simples (soit de l'infraction la plus grave selon les premiers juges), et d'autre part de la nouvelle condamnation dont l'appelant a fait l'objet en novembre 2011. Cette peine est partiellement complémentaire à celle prononcée le 9 juin 2008 par la Cour de cassation pénale vaudoise et à celle prononcée le 29 mai 2009 par le Juge d'instruction de Fribourg, ainsi qu'entièrement complémentaire à celle fixée le 9 novembre 2011 par le Tribunal de police de l’arrondissement de Lausanne . L'appel est donc partiellement admis sur ce point, l'appelant ayant requis que la peine privative de liberté de vingt mois prononcée par les premiers juges soit réduite à un maximum de 12 mois.</w:t>
      </w:r>
    </w:p>
    <w:p>
      <w:r>
        <w:rPr>
          <w:b/>
        </w:rPr>
        <w:t>E. 4</w:t>
      </w:r>
    </w:p>
    <w:p>
      <w:r>
        <w:t>Enfin, formulée au stade de la procédure d'appel, la réquisition subsidiaire et finale tendant à la mise en oeuvre d’une expertise psychiatrique dans "[…]l’hypothèse où la Cour d’appel n’estimerait pas qu’une réduction sensible de la peine se justifie[…]" est tardive (art. 389 al. 2 CPP), voire sans objet.</w:t>
      </w:r>
    </w:p>
    <w:p>
      <w:r>
        <w:rPr>
          <w:b/>
        </w:rPr>
        <w:t>E. 5</w:t>
      </w:r>
    </w:p>
    <w:p>
      <w:r>
        <w:t>En définitive, l'appel doit être partiellement admis dans le sens des considérants. Vu le sort de l'appel, les frais de seconde instance, fixés à 4'626 fr. 80, seront supportés par B.________ à raison de deux tiers (art. 428 CP), le solde étant laissé à la charge de l’Etat. Ces frais comprennent l’indemnité d’office allouée à Me Stefan Disch, défenseur d’office, par 2'386 fr. 80 (deux mille trois cent huitante-six francs et huitante centimes), TVA et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