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153 vom 30. Mai 2011</w:t>
      </w:r>
    </w:p>
    <w:p>
      <w:r>
        <w:t>VD Tribunal cantonal, 2011-05-30, FR</w:t>
      </w:r>
    </w:p>
    <w:p>
      <w:r>
        <w:rPr>
          <w:b/>
        </w:rPr>
        <w:t xml:space="preserve">Quelle: </w:t>
      </w:r>
      <w:r>
        <w:t>https://mcp.opencaselaw.ch/entscheid/vd_findinfo_Jug___2012___153</w:t>
      </w:r>
    </w:p>
    <w:p>
      <w:r>
        <w:t>FR: VD_FINDINFO Jug / 2012 / 153 du 30 mai 2011</w:t>
      </w:r>
    </w:p>
    <w:p>
      <w:r>
        <w:t>IT: VD_FINDINFO Jug / 2012 / 153 del 30 maggio 2011</w:t>
      </w:r>
    </w:p>
    <w:p>
      <w:pPr>
        <w:pStyle w:val="Heading2"/>
      </w:pPr>
      <w:r>
        <w:t>Regeste</w:t>
      </w:r>
    </w:p>
    <w:p>
      <w:r>
        <w:t>DÉNONCIATION CALOMNIEUSE, FIXATION DE LA PEINE | 303 ch. 1 CP, 47 CP,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du 19 avril 2012, le Tribunal fédéral a estimé que la peine prononcée à l'encontre d'A.________ apparaissait exagérément légère, au point de constituer un abus du pouvoir d'appréciation. A cet égard, il a considéré que le jugement attaqué ne prenait pas en considération le comportement postérieurement à l'acte et au cours de la procédure pénale et notamment l'existence ou l'absence de repentir après l'acte et la volonté de s'amender. Au surplus, le Tribunal fédéral a reproché à la cour cantonale d'avoir retenu à décharge de l'intimée sa volonté d'interrompre le processus pénal alors que le retrait de plainte ne comportait aucune rectification des faits dénoncés. Il a considéré qu'à la lecture du document le retrait de plainte n'était pas motivé par le fait que l'intimée avait faussement accusé R.________, mais que celui-ci avait commis les actes reprochés en étant alcoolisé et qu'elle supportait mal la situation, ces motifs n'étant pas de nature à interrompre le processus. Le Tribunal fédéral a également reproché à la cour cantonale d'avoir retenu, comme élément à décharge de l'intimée, que celle-ci avait déposé plainte pénale contre R.________ pour se libérer de son influence affective. Sur ce point, la Haute cour a considéré que la situation personnelle de l'intimée avait évolué par la suite puisqu'elle vit désormais avec son compagnon, et que le maintien de ses accusations ne pouvait donc pas s'expliquer par sa situation de dépendance à l'égard du précité.</w:t>
      </w:r>
    </w:p>
    <w:p>
      <w:r>
        <w:rPr>
          <w:b/>
        </w:rPr>
        <w:t>E. 3</w:t>
      </w:r>
    </w:p>
    <w:p>
      <w:r>
        <w:t>Le Tribunal fédéral a invité la Cour d'appel pénale du Tribunal cantonale à fixer une nouvelle peine sur la base de l'ensemble des éléments qui doivent être retenus.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w:t>
      </w:r>
    </w:p>
    <w:p>
      <w:r>
        <w:rPr>
          <w:b/>
        </w:rPr>
        <w:t>E. 3.2</w:t>
      </w:r>
    </w:p>
    <w:p>
      <w:r>
        <w:t>Selon l'art. 303 ch. 1 CP, celui qui aura dénoncé à l'autorité, comme auteur d'un crime ou d'un délit, une personne qu'il savait innocente, en vue de faire ouvrir contre elle une poursuite pénale, sera puni d'une peine privative de liberté maximale de vingt ans ou d'une peine pécuniaire maximale de 365 jours-amende, à moins que la dénonciation ne porte sur une contravention (ch. 2).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 2.1; ATF 132 IV 20 c. 4.1 p. 25).</w:t>
      </w:r>
    </w:p>
    <w:p>
      <w:r>
        <w:rPr>
          <w:b/>
        </w:rPr>
        <w:t>E. 3.3</w:t>
      </w:r>
    </w:p>
    <w:p>
      <w:r>
        <w:t>En l'espèce, A.________ a accusé faussement R.________ d'avoir abusé d'elle sexuellement. La dénonciation portait sur plusieurs infractions à l'intégrité sexuelle, commises à réitérées reprises sur une longue période et exposait la personne accusée à tort à une peine privative de liberté susceptible d'aller jusqu'à dix ans, si la seule infraction de viol était retenue. Eu égard à la gravité des accusations proférées par l'intimée, la culpabilité de cette dernière est importante. A charge d'A.________, il faut tenir compte du fait qu'elle a persisté dans ses accusations malgré son inefficace retrait de plainte. A décharge, l'intimée était une jeune adulte au moment des faits. Elle a été battue par son père alors qu'elle était une enfant, a vécu le divorce de ses parents à l'âge de huit ans et a été abandonnée par son père avec lequel elle n'a plus de contact (jgt., p. 10). Au surplus, sans dénigrement, on peut légitimement présumer qu'elle a éprouvé de grandes difficultés dans l'acquisition des connaissances de base au vu du libellé chaotique de la lettre de deux lignes qu'elle a adressée le 13 octobre 2009 au Juge d'instruction (P. 6), ainsi que des difficultés de formation et d'emploi, l'intimée ayant obtenu un diplôme de sommelière, mais ayant connu le chômage et travaillé comme vendeuse en boulangerie.</w:t>
      </w:r>
    </w:p>
    <w:p>
      <w:r>
        <w:rPr>
          <w:b/>
        </w:rPr>
        <w:t>E. 3.4</w:t>
      </w:r>
    </w:p>
    <w:p>
      <w:r>
        <w:t>En définitive, au regard de l'infraction commise, de la culpabilité d'A.________, de sa persistance à accuser R.________, de son parcours de vie et de sa situation personnelle, une peine de 75 jours-amende à 50 fr. le jour-amende – montant non contesté par les parties – est adéquate. Au surplus, cette peine doit être assortie du sursis dans la mesure où l'intimée en remplit les conditions (art. 42 CP). Le délai d'épreuve sera de deux ans. Au vu de ce qui précède, l'appel du Ministère public est partiellement admis.</w:t>
      </w:r>
    </w:p>
    <w:p>
      <w:r>
        <w:rPr>
          <w:b/>
        </w:rPr>
        <w:t>E. 4</w:t>
      </w:r>
    </w:p>
    <w:p>
      <w:r>
        <w:t>D'après l'art. 428 al. 1 CPP, les frais de la procédure de recours sont mis à la charge des parties dans la mesure où elles ont obtenu gain de cause ou succombé. Selon la doctrine, la partie qui n'a pris aucune conclusion ne peut être considérée comme avoir obtenu gain de cause ou succombé et ne peut donc être condamnée aux frais (T. Domeisen, in: Basler Kommentar, Schweizerische Strafprozessordnung, Bâle 2011, n°6 ad art. 428 CPP). En l'espèce, A.________ a renoncé à se déterminer sur l'appel déposé par le Ministère public et s'en est remise à justice. En conséquence, elle n'a ni obtenu gain de cause, ni succombé, de sorte que les frais d'appel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